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仿宋_GB2312" w:eastAsia="仿宋_GB2312"/>
          <w:color w:val="auto"/>
          <w:sz w:val="28"/>
        </w:rPr>
      </w:pPr>
      <w:r>
        <w:rPr>
          <w:color w:val="auto"/>
        </w:rPr>
        <w:drawing>
          <wp:inline distT="0" distB="0" distL="114300" distR="114300">
            <wp:extent cx="1409700" cy="138112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1409700" cy="1381125"/>
                    </a:xfrm>
                    <a:prstGeom prst="rect">
                      <a:avLst/>
                    </a:prstGeom>
                    <a:noFill/>
                    <a:ln>
                      <a:noFill/>
                    </a:ln>
                  </pic:spPr>
                </pic:pic>
              </a:graphicData>
            </a:graphic>
          </wp:inline>
        </w:drawing>
      </w:r>
      <w:r>
        <w:rPr>
          <w:rFonts w:hint="eastAsia" w:ascii="黑体" w:hAnsi="黑体" w:eastAsia="黑体"/>
          <w:color w:val="auto"/>
          <w:kern w:val="10"/>
          <w:sz w:val="32"/>
          <w:szCs w:val="32"/>
        </w:rPr>
        <w:t xml:space="preserve"> </w:t>
      </w:r>
      <w:r>
        <w:rPr>
          <w:rFonts w:ascii="黑体" w:hAnsi="黑体" w:eastAsia="黑体"/>
          <w:color w:val="auto"/>
          <w:kern w:val="10"/>
          <w:sz w:val="32"/>
          <w:szCs w:val="32"/>
        </w:rPr>
        <w:t xml:space="preserve">                        </w:t>
      </w:r>
    </w:p>
    <w:p>
      <w:pPr>
        <w:spacing w:line="360" w:lineRule="auto"/>
        <w:jc w:val="center"/>
        <w:rPr>
          <w:rFonts w:ascii="仿宋_GB2312" w:eastAsia="仿宋_GB2312"/>
          <w:color w:val="auto"/>
          <w:sz w:val="28"/>
        </w:rPr>
      </w:pPr>
      <w:bookmarkStart w:id="31" w:name="_GoBack"/>
      <w:bookmarkEnd w:id="31"/>
    </w:p>
    <w:p>
      <w:pPr>
        <w:spacing w:line="360" w:lineRule="auto"/>
        <w:jc w:val="center"/>
        <w:rPr>
          <w:rFonts w:ascii="仿宋_GB2312" w:eastAsia="仿宋_GB2312"/>
          <w:color w:val="auto"/>
          <w:sz w:val="28"/>
        </w:rPr>
      </w:pPr>
    </w:p>
    <w:p>
      <w:pPr>
        <w:spacing w:before="312" w:beforeLines="100" w:line="360" w:lineRule="auto"/>
        <w:jc w:val="center"/>
        <w:outlineLvl w:val="0"/>
        <w:rPr>
          <w:rFonts w:hint="default" w:ascii="Times New Roman" w:hAnsi="Times New Roman" w:eastAsia="宋体" w:cs="Times New Roman"/>
          <w:b/>
          <w:color w:val="auto"/>
          <w:sz w:val="48"/>
          <w:szCs w:val="48"/>
          <w:lang w:val="en-US" w:eastAsia="zh-CN"/>
        </w:rPr>
      </w:pPr>
      <w:bookmarkStart w:id="0" w:name="_Toc20822"/>
      <w:r>
        <w:rPr>
          <w:rFonts w:hint="default" w:ascii="Times New Roman" w:hAnsi="Times New Roman" w:eastAsia="宋体" w:cs="Times New Roman"/>
          <w:b/>
          <w:color w:val="auto"/>
          <w:sz w:val="48"/>
          <w:szCs w:val="48"/>
          <w:lang w:val="en-US" w:eastAsia="zh-CN"/>
        </w:rPr>
        <w:t>南京鼓楼医院集团安庆市石化医院</w:t>
      </w:r>
      <w:bookmarkEnd w:id="0"/>
    </w:p>
    <w:p>
      <w:pPr>
        <w:spacing w:before="312" w:beforeLines="100" w:line="360" w:lineRule="auto"/>
        <w:jc w:val="center"/>
        <w:outlineLvl w:val="0"/>
        <w:rPr>
          <w:rFonts w:hint="default" w:ascii="Times New Roman" w:hAnsi="Times New Roman" w:eastAsia="宋体" w:cs="Times New Roman"/>
          <w:b/>
          <w:color w:val="auto"/>
          <w:sz w:val="48"/>
          <w:szCs w:val="48"/>
          <w:lang w:eastAsia="zh-CN"/>
        </w:rPr>
      </w:pPr>
      <w:bookmarkStart w:id="1" w:name="_Toc4925"/>
      <w:r>
        <w:rPr>
          <w:rFonts w:hint="default" w:ascii="Times New Roman" w:hAnsi="Times New Roman" w:eastAsia="宋体" w:cs="Times New Roman"/>
          <w:b/>
          <w:color w:val="auto"/>
          <w:sz w:val="48"/>
          <w:szCs w:val="48"/>
          <w:lang w:val="en-US" w:eastAsia="zh-CN"/>
        </w:rPr>
        <w:t>安庆市石化医院DSA项目</w:t>
      </w:r>
      <w:bookmarkEnd w:id="1"/>
    </w:p>
    <w:p>
      <w:pPr>
        <w:spacing w:before="312" w:beforeLines="100" w:line="360" w:lineRule="auto"/>
        <w:jc w:val="center"/>
        <w:outlineLvl w:val="0"/>
        <w:rPr>
          <w:rFonts w:hint="default" w:ascii="Times New Roman" w:hAnsi="Times New Roman" w:eastAsia="宋体" w:cs="Times New Roman"/>
          <w:b/>
          <w:color w:val="auto"/>
          <w:sz w:val="48"/>
          <w:szCs w:val="48"/>
          <w:lang w:val="en-US" w:eastAsia="zh-CN"/>
        </w:rPr>
      </w:pPr>
      <w:bookmarkStart w:id="2" w:name="_Toc30904"/>
      <w:bookmarkStart w:id="3" w:name="_Toc28249"/>
      <w:r>
        <w:rPr>
          <w:rFonts w:hint="default" w:ascii="Times New Roman" w:hAnsi="Times New Roman" w:eastAsia="宋体" w:cs="Times New Roman"/>
          <w:b/>
          <w:color w:val="auto"/>
          <w:sz w:val="48"/>
          <w:szCs w:val="48"/>
          <w:lang w:eastAsia="zh-CN"/>
        </w:rPr>
        <w:t>竣工环境保护验收监测</w:t>
      </w:r>
      <w:r>
        <w:rPr>
          <w:rFonts w:hint="default" w:ascii="Times New Roman" w:hAnsi="Times New Roman" w:eastAsia="宋体" w:cs="Times New Roman"/>
          <w:b/>
          <w:color w:val="auto"/>
          <w:sz w:val="48"/>
          <w:szCs w:val="48"/>
        </w:rPr>
        <w:t>表</w:t>
      </w:r>
      <w:bookmarkEnd w:id="2"/>
      <w:bookmarkEnd w:id="3"/>
    </w:p>
    <w:p>
      <w:pPr>
        <w:rPr>
          <w:rFonts w:hint="default" w:ascii="Times New Roman" w:hAnsi="Times New Roman" w:eastAsia="宋体" w:cs="Times New Roman"/>
          <w:b/>
          <w:bCs/>
          <w:color w:val="auto"/>
          <w:spacing w:val="20"/>
          <w:sz w:val="48"/>
          <w:szCs w:val="48"/>
        </w:rPr>
      </w:pPr>
    </w:p>
    <w:p>
      <w:pPr>
        <w:rPr>
          <w:rFonts w:hint="default" w:ascii="Times New Roman" w:hAnsi="Times New Roman" w:eastAsia="宋体" w:cs="Times New Roman"/>
          <w:b/>
          <w:bCs/>
          <w:color w:val="auto"/>
          <w:spacing w:val="20"/>
          <w:sz w:val="48"/>
          <w:szCs w:val="48"/>
          <w:lang w:eastAsia="zh-CN"/>
        </w:rPr>
      </w:pPr>
    </w:p>
    <w:p>
      <w:pPr>
        <w:pStyle w:val="14"/>
        <w:rPr>
          <w:rFonts w:hint="default" w:ascii="Times New Roman" w:hAnsi="Times New Roman" w:eastAsia="宋体" w:cs="Times New Roman"/>
          <w:color w:val="auto"/>
          <w:sz w:val="48"/>
          <w:szCs w:val="48"/>
          <w:lang w:eastAsia="zh-CN"/>
        </w:rPr>
      </w:pPr>
    </w:p>
    <w:p>
      <w:pPr>
        <w:rPr>
          <w:rFonts w:hint="default" w:ascii="Times New Roman" w:hAnsi="Times New Roman" w:eastAsia="宋体" w:cs="Times New Roman"/>
          <w:b/>
          <w:bCs/>
          <w:color w:val="auto"/>
          <w:spacing w:val="20"/>
          <w:sz w:val="48"/>
          <w:szCs w:val="48"/>
        </w:rPr>
      </w:pPr>
    </w:p>
    <w:p>
      <w:pPr>
        <w:spacing w:line="720" w:lineRule="auto"/>
        <w:rPr>
          <w:rFonts w:hint="default" w:ascii="Times New Roman" w:hAnsi="Times New Roman" w:eastAsia="宋体" w:cs="Times New Roman"/>
          <w:b/>
          <w:bCs/>
          <w:color w:val="auto"/>
          <w:sz w:val="48"/>
          <w:szCs w:val="48"/>
        </w:rPr>
      </w:pPr>
    </w:p>
    <w:p>
      <w:pPr>
        <w:pStyle w:val="14"/>
        <w:rPr>
          <w:rFonts w:hint="default" w:ascii="Times New Roman" w:hAnsi="Times New Roman" w:eastAsia="宋体" w:cs="Times New Roman"/>
          <w:color w:val="auto"/>
          <w:sz w:val="48"/>
          <w:szCs w:val="48"/>
        </w:rPr>
      </w:pPr>
    </w:p>
    <w:p>
      <w:pPr>
        <w:spacing w:line="720" w:lineRule="auto"/>
        <w:ind w:firstLine="1400" w:firstLineChars="50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rPr>
        <w:t>建设单位名称</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南京鼓楼医院集团安庆市石化医院</w:t>
      </w:r>
    </w:p>
    <w:p>
      <w:pPr>
        <w:spacing w:line="720" w:lineRule="auto"/>
        <w:ind w:firstLine="1400" w:firstLineChars="500"/>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编制单位名称</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eastAsia="zh-CN"/>
        </w:rPr>
        <w:t>安徽显闰环境工程有限公司</w:t>
      </w:r>
    </w:p>
    <w:p>
      <w:pPr>
        <w:pStyle w:val="14"/>
        <w:ind w:firstLine="3640" w:firstLineChars="1300"/>
        <w:rPr>
          <w:rFonts w:hint="default" w:ascii="Times New Roman" w:hAnsi="Times New Roman" w:eastAsia="宋体" w:cs="Times New Roman"/>
          <w:b/>
          <w:bCs/>
          <w:color w:val="auto"/>
          <w:sz w:val="28"/>
          <w:szCs w:val="28"/>
          <w:lang w:val="en-US" w:eastAsia="zh-CN"/>
        </w:rPr>
      </w:pPr>
    </w:p>
    <w:p>
      <w:pPr>
        <w:pStyle w:val="14"/>
        <w:ind w:firstLine="3640" w:firstLineChars="1300"/>
        <w:rPr>
          <w:rFonts w:hint="default" w:ascii="Times New Roman" w:hAnsi="Times New Roman" w:eastAsia="宋体" w:cs="Times New Roman"/>
          <w:b/>
          <w:bCs/>
          <w:color w:val="auto"/>
          <w:sz w:val="48"/>
          <w:szCs w:val="48"/>
          <w:lang w:val="en-US" w:eastAsia="zh-CN"/>
        </w:rPr>
      </w:pPr>
      <w:r>
        <w:rPr>
          <w:rFonts w:hint="default" w:ascii="Times New Roman" w:hAnsi="Times New Roman" w:eastAsia="宋体" w:cs="Times New Roman"/>
          <w:b/>
          <w:bCs/>
          <w:color w:val="auto"/>
          <w:sz w:val="28"/>
          <w:szCs w:val="28"/>
          <w:lang w:val="en-US" w:eastAsia="zh-CN"/>
        </w:rPr>
        <w:t>二〇二</w:t>
      </w:r>
      <w:r>
        <w:rPr>
          <w:rFonts w:hint="eastAsia" w:ascii="Times New Roman" w:hAnsi="Times New Roman" w:cs="Times New Roman"/>
          <w:b/>
          <w:bCs/>
          <w:color w:val="auto"/>
          <w:sz w:val="28"/>
          <w:szCs w:val="28"/>
          <w:lang w:val="en-US" w:eastAsia="zh-CN"/>
        </w:rPr>
        <w:t>二</w:t>
      </w:r>
      <w:r>
        <w:rPr>
          <w:rFonts w:hint="default" w:ascii="Times New Roman" w:hAnsi="Times New Roman" w:eastAsia="宋体" w:cs="Times New Roman"/>
          <w:b/>
          <w:bCs/>
          <w:color w:val="auto"/>
          <w:sz w:val="28"/>
          <w:szCs w:val="28"/>
          <w:lang w:val="en-US" w:eastAsia="zh-CN"/>
        </w:rPr>
        <w:t>年</w:t>
      </w:r>
      <w:r>
        <w:rPr>
          <w:rFonts w:hint="eastAsia" w:cs="Times New Roman"/>
          <w:b/>
          <w:bCs/>
          <w:color w:val="auto"/>
          <w:sz w:val="28"/>
          <w:szCs w:val="28"/>
          <w:lang w:val="en-US" w:eastAsia="zh-CN"/>
        </w:rPr>
        <w:t>八</w:t>
      </w:r>
      <w:r>
        <w:rPr>
          <w:rFonts w:hint="default" w:ascii="Times New Roman" w:hAnsi="Times New Roman" w:eastAsia="宋体" w:cs="Times New Roman"/>
          <w:b/>
          <w:bCs/>
          <w:color w:val="auto"/>
          <w:sz w:val="28"/>
          <w:szCs w:val="28"/>
          <w:lang w:val="en-US" w:eastAsia="zh-CN"/>
        </w:rPr>
        <w:t>月</w:t>
      </w:r>
    </w:p>
    <w:p>
      <w:pPr>
        <w:spacing w:after="156" w:afterLines="50" w:line="480" w:lineRule="auto"/>
        <w:rPr>
          <w:rFonts w:ascii="Times New Roman" w:hAnsi="Times New Roman" w:eastAsia="仿宋" w:cs="Times New Roman"/>
          <w:color w:val="auto"/>
          <w:sz w:val="28"/>
        </w:rPr>
      </w:pPr>
      <w:r>
        <w:rPr>
          <w:rFonts w:ascii="Times New Roman" w:hAnsi="Times New Roman" w:eastAsia="仿宋" w:cs="Times New Roman"/>
          <w:b/>
          <w:color w:val="auto"/>
          <w:sz w:val="28"/>
        </w:rPr>
        <w:t>建设单位法人代表:</w:t>
      </w:r>
      <w:r>
        <w:rPr>
          <w:rFonts w:ascii="Times New Roman" w:hAnsi="Times New Roman" w:eastAsia="仿宋" w:cs="Times New Roman"/>
          <w:color w:val="auto"/>
          <w:sz w:val="28"/>
        </w:rPr>
        <w:t xml:space="preserve">     </w:t>
      </w:r>
      <w:r>
        <w:rPr>
          <w:rFonts w:hint="default" w:ascii="Times New Roman" w:hAnsi="Times New Roman" w:eastAsia="宋体" w:cs="Times New Roman"/>
          <w:color w:val="auto"/>
          <w:kern w:val="0"/>
          <w:sz w:val="21"/>
          <w:szCs w:val="21"/>
          <w:lang w:val="en-US" w:eastAsia="zh-CN" w:bidi="ar"/>
        </w:rPr>
        <w:t>陈胜</w:t>
      </w:r>
      <w:r>
        <w:rPr>
          <w:rFonts w:ascii="Times New Roman" w:hAnsi="Times New Roman" w:eastAsia="仿宋" w:cs="Times New Roman"/>
          <w:color w:val="auto"/>
          <w:sz w:val="28"/>
        </w:rPr>
        <w:t xml:space="preserve">     （签字）</w:t>
      </w:r>
    </w:p>
    <w:p>
      <w:pPr>
        <w:spacing w:after="156" w:afterLines="50" w:line="480" w:lineRule="auto"/>
        <w:rPr>
          <w:rFonts w:ascii="Times New Roman" w:hAnsi="Times New Roman" w:eastAsia="仿宋" w:cs="Times New Roman"/>
          <w:color w:val="auto"/>
          <w:sz w:val="28"/>
        </w:rPr>
      </w:pPr>
      <w:r>
        <w:rPr>
          <w:rFonts w:ascii="Times New Roman" w:hAnsi="Times New Roman" w:eastAsia="仿宋" w:cs="Times New Roman"/>
          <w:b/>
          <w:color w:val="auto"/>
          <w:sz w:val="28"/>
        </w:rPr>
        <w:t>编制单位法人代表：</w:t>
      </w:r>
      <w:r>
        <w:rPr>
          <w:rFonts w:hint="eastAsia" w:ascii="Times New Roman" w:hAnsi="Times New Roman" w:eastAsia="仿宋" w:cs="Times New Roman"/>
          <w:b/>
          <w:color w:val="auto"/>
          <w:sz w:val="28"/>
          <w:lang w:val="en-US" w:eastAsia="zh-CN"/>
        </w:rPr>
        <w:t xml:space="preserve">    </w:t>
      </w:r>
      <w:r>
        <w:rPr>
          <w:rFonts w:hint="eastAsia" w:cs="Times New Roman"/>
          <w:color w:val="auto"/>
          <w:kern w:val="0"/>
          <w:sz w:val="21"/>
          <w:szCs w:val="21"/>
          <w:lang w:val="en-US" w:eastAsia="zh-CN" w:bidi="ar"/>
        </w:rPr>
        <w:t>张建</w:t>
      </w:r>
      <w:r>
        <w:rPr>
          <w:rFonts w:ascii="Times New Roman" w:hAnsi="Times New Roman" w:eastAsia="仿宋" w:cs="Times New Roman"/>
          <w:color w:val="auto"/>
          <w:sz w:val="28"/>
        </w:rPr>
        <w:t xml:space="preserve">     （签字）</w:t>
      </w:r>
    </w:p>
    <w:p>
      <w:pPr>
        <w:spacing w:after="156" w:afterLines="50" w:line="480" w:lineRule="auto"/>
        <w:rPr>
          <w:rFonts w:hint="default" w:ascii="Times New Roman" w:hAnsi="Times New Roman" w:eastAsia="仿宋" w:cs="Times New Roman"/>
          <w:b/>
          <w:color w:val="auto"/>
          <w:sz w:val="28"/>
          <w:lang w:val="en-US" w:eastAsia="zh-CN"/>
        </w:rPr>
      </w:pPr>
      <w:r>
        <w:rPr>
          <w:rFonts w:ascii="Times New Roman" w:hAnsi="Times New Roman" w:eastAsia="仿宋" w:cs="Times New Roman"/>
          <w:b/>
          <w:color w:val="auto"/>
          <w:sz w:val="28"/>
        </w:rPr>
        <w:t>项</w:t>
      </w:r>
      <w:r>
        <w:rPr>
          <w:rFonts w:ascii="Times New Roman" w:hAnsi="Times New Roman" w:eastAsia="仿宋" w:cs="Times New Roman"/>
          <w:b/>
          <w:color w:val="auto"/>
          <w:spacing w:val="20"/>
          <w:sz w:val="28"/>
        </w:rPr>
        <w:t xml:space="preserve"> 目 负 责 </w:t>
      </w:r>
      <w:r>
        <w:rPr>
          <w:rFonts w:ascii="Times New Roman" w:hAnsi="Times New Roman" w:eastAsia="仿宋" w:cs="Times New Roman"/>
          <w:b/>
          <w:color w:val="auto"/>
          <w:sz w:val="28"/>
        </w:rPr>
        <w:t>人：</w:t>
      </w:r>
      <w:r>
        <w:rPr>
          <w:rFonts w:hint="eastAsia" w:ascii="Times New Roman" w:hAnsi="Times New Roman" w:eastAsia="仿宋" w:cs="Times New Roman"/>
          <w:b/>
          <w:color w:val="auto"/>
          <w:sz w:val="28"/>
          <w:lang w:val="en-US" w:eastAsia="zh-CN"/>
        </w:rPr>
        <w:t xml:space="preserve">    </w:t>
      </w:r>
    </w:p>
    <w:p>
      <w:pPr>
        <w:spacing w:after="156" w:afterLines="50" w:line="480" w:lineRule="auto"/>
        <w:rPr>
          <w:rFonts w:ascii="Times New Roman" w:hAnsi="Times New Roman" w:eastAsia="仿宋" w:cs="Times New Roman"/>
          <w:b/>
          <w:color w:val="auto"/>
          <w:sz w:val="28"/>
        </w:rPr>
      </w:pPr>
      <w:r>
        <w:rPr>
          <w:rFonts w:ascii="Times New Roman" w:hAnsi="Times New Roman" w:eastAsia="仿宋" w:cs="Times New Roman"/>
          <w:b/>
          <w:color w:val="auto"/>
          <w:sz w:val="28"/>
        </w:rPr>
        <w:t>填</w:t>
      </w:r>
      <w:r>
        <w:rPr>
          <w:rFonts w:ascii="Times New Roman" w:hAnsi="Times New Roman" w:eastAsia="仿宋" w:cs="Times New Roman"/>
          <w:b/>
          <w:color w:val="auto"/>
          <w:spacing w:val="16"/>
          <w:sz w:val="28"/>
        </w:rPr>
        <w:t xml:space="preserve">    表    </w:t>
      </w:r>
      <w:r>
        <w:rPr>
          <w:rFonts w:ascii="Times New Roman" w:hAnsi="Times New Roman" w:eastAsia="仿宋" w:cs="Times New Roman"/>
          <w:b/>
          <w:color w:val="auto"/>
          <w:sz w:val="28"/>
        </w:rPr>
        <w:t>人：</w:t>
      </w:r>
    </w:p>
    <w:p>
      <w:pPr>
        <w:tabs>
          <w:tab w:val="left" w:pos="984"/>
        </w:tabs>
        <w:spacing w:line="360" w:lineRule="auto"/>
        <w:rPr>
          <w:rFonts w:ascii="Times New Roman" w:hAnsi="Times New Roman" w:eastAsia="仿宋" w:cs="Times New Roman"/>
          <w:color w:val="auto"/>
          <w:sz w:val="28"/>
        </w:rPr>
      </w:pPr>
    </w:p>
    <w:p>
      <w:pPr>
        <w:spacing w:line="360" w:lineRule="auto"/>
        <w:rPr>
          <w:rFonts w:ascii="Times New Roman" w:hAnsi="Times New Roman" w:eastAsia="仿宋" w:cs="Times New Roman"/>
          <w:color w:val="auto"/>
          <w:sz w:val="28"/>
        </w:rPr>
      </w:pPr>
    </w:p>
    <w:p>
      <w:pPr>
        <w:spacing w:line="360" w:lineRule="auto"/>
        <w:rPr>
          <w:rFonts w:ascii="Times New Roman" w:hAnsi="Times New Roman" w:eastAsia="仿宋" w:cs="Times New Roman"/>
          <w:color w:val="auto"/>
          <w:sz w:val="28"/>
        </w:rPr>
      </w:pPr>
    </w:p>
    <w:p>
      <w:pPr>
        <w:spacing w:line="360" w:lineRule="auto"/>
        <w:rPr>
          <w:rFonts w:ascii="Times New Roman" w:hAnsi="Times New Roman" w:eastAsia="仿宋" w:cs="Times New Roman"/>
          <w:color w:val="auto"/>
          <w:sz w:val="28"/>
        </w:rPr>
      </w:pPr>
    </w:p>
    <w:p>
      <w:pPr>
        <w:pStyle w:val="14"/>
        <w:rPr>
          <w:rFonts w:ascii="Times New Roman" w:hAnsi="Times New Roman" w:eastAsia="仿宋" w:cs="Times New Roman"/>
          <w:color w:val="auto"/>
          <w:sz w:val="28"/>
        </w:rPr>
      </w:pPr>
    </w:p>
    <w:p>
      <w:pPr>
        <w:rPr>
          <w:color w:val="auto"/>
        </w:rPr>
      </w:pPr>
    </w:p>
    <w:p>
      <w:pPr>
        <w:spacing w:line="360" w:lineRule="auto"/>
        <w:rPr>
          <w:rFonts w:ascii="Times New Roman" w:hAnsi="Times New Roman" w:eastAsia="仿宋" w:cs="Times New Roman"/>
          <w:color w:val="auto"/>
          <w:sz w:val="28"/>
        </w:rPr>
      </w:pPr>
    </w:p>
    <w:p>
      <w:pPr>
        <w:pStyle w:val="14"/>
        <w:rPr>
          <w:rFonts w:ascii="Times New Roman" w:hAnsi="Times New Roman" w:eastAsia="仿宋" w:cs="Times New Roman"/>
          <w:color w:val="auto"/>
          <w:sz w:val="28"/>
        </w:rPr>
      </w:pPr>
    </w:p>
    <w:p>
      <w:pPr>
        <w:rPr>
          <w:color w:val="auto"/>
        </w:rPr>
      </w:pPr>
    </w:p>
    <w:p>
      <w:pPr>
        <w:keepNext w:val="0"/>
        <w:keepLines w:val="0"/>
        <w:pageBreakBefore w:val="0"/>
        <w:widowControl/>
        <w:kinsoku/>
        <w:wordWrap/>
        <w:overflowPunct/>
        <w:topLinePunct w:val="0"/>
        <w:autoSpaceDE/>
        <w:autoSpaceDN/>
        <w:bidi w:val="0"/>
        <w:adjustRightInd/>
        <w:snapToGrid/>
        <w:spacing w:line="360" w:lineRule="auto"/>
        <w:ind w:left="1680" w:hanging="1680" w:hangingChars="600"/>
        <w:textAlignment w:val="auto"/>
        <w:rPr>
          <w:rFonts w:ascii="Times New Roman" w:hAnsi="Times New Roman" w:eastAsia="仿宋" w:cs="Times New Roman"/>
          <w:color w:val="auto"/>
          <w:sz w:val="28"/>
        </w:rPr>
      </w:pPr>
      <w:r>
        <w:rPr>
          <w:rFonts w:ascii="Times New Roman" w:hAnsi="Times New Roman" w:eastAsia="仿宋" w:cs="Times New Roman"/>
          <w:color w:val="auto"/>
          <w:sz w:val="28"/>
        </w:rPr>
        <w:t>建设单位：</w:t>
      </w:r>
      <w:r>
        <w:rPr>
          <w:rFonts w:hint="default" w:ascii="Times New Roman" w:hAnsi="Times New Roman" w:eastAsia="仿宋" w:cs="Times New Roman"/>
          <w:color w:val="auto"/>
          <w:sz w:val="28"/>
          <w:lang w:val="en-US" w:eastAsia="zh-CN"/>
        </w:rPr>
        <w:t xml:space="preserve"> 南京鼓楼医院集团</w:t>
      </w:r>
      <w:r>
        <w:rPr>
          <w:rFonts w:hint="eastAsia" w:ascii="Times New Roman" w:hAnsi="Times New Roman" w:eastAsia="仿宋" w:cs="Times New Roman"/>
          <w:color w:val="auto"/>
          <w:sz w:val="28"/>
          <w:lang w:val="en-US" w:eastAsia="zh-CN"/>
        </w:rPr>
        <w:t xml:space="preserve">     </w:t>
      </w:r>
      <w:r>
        <w:rPr>
          <w:rFonts w:ascii="Times New Roman" w:hAnsi="Times New Roman" w:eastAsia="仿宋" w:cs="Times New Roman"/>
          <w:color w:val="auto"/>
          <w:sz w:val="28"/>
        </w:rPr>
        <w:t>编制单位：</w:t>
      </w:r>
      <w:r>
        <w:rPr>
          <w:rFonts w:hint="default" w:ascii="Times New Roman" w:hAnsi="Times New Roman" w:eastAsia="仿宋" w:cs="Times New Roman"/>
          <w:color w:val="auto"/>
          <w:sz w:val="28"/>
          <w:lang w:eastAsia="zh-CN"/>
        </w:rPr>
        <w:t>安徽显闰环境工程有</w:t>
      </w:r>
      <w:r>
        <w:rPr>
          <w:rFonts w:hint="eastAsia" w:ascii="Times New Roman" w:hAnsi="Times New Roman" w:eastAsia="仿宋" w:cs="Times New Roman"/>
          <w:color w:val="auto"/>
          <w:sz w:val="28"/>
          <w:lang w:eastAsia="zh-CN"/>
        </w:rPr>
        <w:t>限</w:t>
      </w:r>
      <w:r>
        <w:rPr>
          <w:rFonts w:hint="eastAsia" w:ascii="Times New Roman" w:hAnsi="Times New Roman" w:eastAsia="仿宋" w:cs="Times New Roman"/>
          <w:color w:val="auto"/>
          <w:sz w:val="28"/>
          <w:lang w:val="en-US" w:eastAsia="zh-CN"/>
        </w:rPr>
        <w:t xml:space="preserve">安庆市石化医院                         </w:t>
      </w:r>
      <w:r>
        <w:rPr>
          <w:rFonts w:hint="default" w:ascii="Times New Roman" w:hAnsi="Times New Roman" w:eastAsia="仿宋" w:cs="Times New Roman"/>
          <w:color w:val="auto"/>
          <w:sz w:val="28"/>
          <w:lang w:eastAsia="zh-CN"/>
        </w:rPr>
        <w:t>公司</w:t>
      </w:r>
      <w:r>
        <w:rPr>
          <w:rFonts w:hint="default" w:ascii="Times New Roman" w:hAnsi="Times New Roman" w:eastAsia="仿宋" w:cs="Times New Roman"/>
          <w:color w:val="auto"/>
          <w:sz w:val="28"/>
          <w:lang w:val="en-US" w:eastAsia="zh-CN"/>
        </w:rPr>
        <w:t xml:space="preserve"> </w:t>
      </w:r>
    </w:p>
    <w:p>
      <w:pPr>
        <w:spacing w:line="360" w:lineRule="auto"/>
        <w:ind w:left="6708" w:leftChars="812" w:hanging="4760" w:hangingChars="1700"/>
        <w:rPr>
          <w:rFonts w:ascii="Times New Roman" w:hAnsi="Times New Roman" w:eastAsia="仿宋" w:cs="Times New Roman"/>
          <w:color w:val="auto"/>
          <w:sz w:val="28"/>
        </w:rPr>
      </w:pPr>
      <w:r>
        <w:rPr>
          <w:rFonts w:ascii="Times New Roman" w:hAnsi="Times New Roman" w:eastAsia="仿宋" w:cs="Times New Roman"/>
          <w:color w:val="auto"/>
          <w:sz w:val="28"/>
        </w:rPr>
        <w:t xml:space="preserve">（盖章）                       </w:t>
      </w:r>
      <w:r>
        <w:rPr>
          <w:rFonts w:hint="eastAsia" w:ascii="Times New Roman" w:hAnsi="Times New Roman" w:eastAsia="仿宋" w:cs="Times New Roman"/>
          <w:color w:val="auto"/>
          <w:sz w:val="28"/>
          <w:lang w:val="en-US" w:eastAsia="zh-CN"/>
        </w:rPr>
        <w:t xml:space="preserve">      </w:t>
      </w:r>
      <w:r>
        <w:rPr>
          <w:rFonts w:ascii="Times New Roman" w:hAnsi="Times New Roman" w:eastAsia="仿宋" w:cs="Times New Roman"/>
          <w:color w:val="auto"/>
          <w:sz w:val="28"/>
        </w:rPr>
        <w:t>（盖章）</w:t>
      </w:r>
    </w:p>
    <w:p>
      <w:pPr>
        <w:spacing w:line="360" w:lineRule="auto"/>
        <w:ind w:left="6720" w:hanging="6720" w:hangingChars="2400"/>
        <w:rPr>
          <w:rFonts w:hint="eastAsia" w:ascii="Times New Roman" w:hAnsi="Times New Roman" w:eastAsia="仿宋" w:cs="Times New Roman"/>
          <w:color w:val="auto"/>
          <w:sz w:val="28"/>
          <w:lang w:val="en-US" w:eastAsia="zh-CN"/>
        </w:rPr>
      </w:pPr>
      <w:r>
        <w:rPr>
          <w:rFonts w:ascii="Times New Roman" w:hAnsi="Times New Roman" w:eastAsia="仿宋" w:cs="Times New Roman"/>
          <w:color w:val="auto"/>
          <w:sz w:val="28"/>
        </w:rPr>
        <w:t>电话</w:t>
      </w:r>
      <w:r>
        <w:rPr>
          <w:rFonts w:hint="eastAsia" w:ascii="Times New Roman" w:hAnsi="Times New Roman" w:eastAsia="仿宋" w:cs="Times New Roman"/>
          <w:color w:val="auto"/>
          <w:sz w:val="28"/>
        </w:rPr>
        <w:t>：</w:t>
      </w:r>
      <w:r>
        <w:rPr>
          <w:rFonts w:hint="default" w:ascii="Times New Roman" w:hAnsi="Times New Roman" w:eastAsia="仿宋" w:cs="Times New Roman"/>
          <w:color w:val="auto"/>
          <w:sz w:val="28"/>
          <w:lang w:val="en-US" w:eastAsia="zh-CN"/>
        </w:rPr>
        <w:t>15005566817</w:t>
      </w:r>
      <w:r>
        <w:rPr>
          <w:rFonts w:ascii="Times New Roman" w:hAnsi="Times New Roman" w:eastAsia="仿宋" w:cs="Times New Roman"/>
          <w:color w:val="auto"/>
          <w:sz w:val="28"/>
        </w:rPr>
        <w:t xml:space="preserve">                       电话：0551-</w:t>
      </w:r>
      <w:r>
        <w:rPr>
          <w:rFonts w:hint="eastAsia" w:ascii="Times New Roman" w:hAnsi="Times New Roman" w:eastAsia="仿宋" w:cs="Times New Roman"/>
          <w:color w:val="auto"/>
          <w:sz w:val="28"/>
          <w:lang w:val="en-US" w:eastAsia="zh-CN"/>
        </w:rPr>
        <w:t>62820275</w:t>
      </w:r>
    </w:p>
    <w:p>
      <w:pPr>
        <w:spacing w:line="360" w:lineRule="auto"/>
        <w:ind w:left="6720" w:hanging="6720" w:hangingChars="2400"/>
        <w:rPr>
          <w:rFonts w:hint="eastAsia" w:ascii="Times New Roman" w:hAnsi="Times New Roman" w:eastAsia="仿宋" w:cs="Times New Roman"/>
          <w:color w:val="auto"/>
          <w:sz w:val="28"/>
          <w:lang w:val="en-US" w:eastAsia="zh-CN"/>
        </w:rPr>
      </w:pPr>
      <w:r>
        <w:rPr>
          <w:rFonts w:ascii="Times New Roman" w:hAnsi="Times New Roman" w:eastAsia="仿宋" w:cs="Times New Roman"/>
          <w:color w:val="auto"/>
          <w:sz w:val="28"/>
        </w:rPr>
        <w:t>传真</w:t>
      </w:r>
      <w:r>
        <w:rPr>
          <w:rFonts w:hint="eastAsia" w:ascii="Times New Roman" w:hAnsi="Times New Roman" w:eastAsia="仿宋" w:cs="Times New Roman"/>
          <w:color w:val="auto"/>
          <w:sz w:val="28"/>
        </w:rPr>
        <w:t>：</w:t>
      </w:r>
      <w:r>
        <w:rPr>
          <w:rFonts w:hint="eastAsia" w:ascii="Times New Roman" w:hAnsi="Times New Roman" w:eastAsia="仿宋" w:cs="Times New Roman"/>
          <w:color w:val="auto"/>
          <w:sz w:val="28"/>
          <w:lang w:val="en-US" w:eastAsia="zh-CN"/>
        </w:rPr>
        <w:t>/</w:t>
      </w:r>
      <w:r>
        <w:rPr>
          <w:rFonts w:ascii="Times New Roman" w:hAnsi="Times New Roman" w:eastAsia="仿宋" w:cs="Times New Roman"/>
          <w:color w:val="auto"/>
          <w:sz w:val="28"/>
        </w:rPr>
        <w:t xml:space="preserve">                            </w:t>
      </w:r>
      <w:r>
        <w:rPr>
          <w:rFonts w:hint="eastAsia" w:ascii="Times New Roman" w:hAnsi="Times New Roman" w:eastAsia="仿宋" w:cs="Times New Roman"/>
          <w:color w:val="auto"/>
          <w:sz w:val="28"/>
          <w:lang w:val="en-US" w:eastAsia="zh-CN"/>
        </w:rPr>
        <w:t xml:space="preserve">      </w:t>
      </w:r>
      <w:r>
        <w:rPr>
          <w:rFonts w:ascii="Times New Roman" w:hAnsi="Times New Roman" w:eastAsia="仿宋" w:cs="Times New Roman"/>
          <w:color w:val="auto"/>
          <w:sz w:val="28"/>
        </w:rPr>
        <w:t>传真：</w:t>
      </w:r>
      <w:r>
        <w:rPr>
          <w:rFonts w:hint="eastAsia" w:ascii="Times New Roman" w:hAnsi="Times New Roman" w:eastAsia="仿宋" w:cs="Times New Roman"/>
          <w:color w:val="auto"/>
          <w:sz w:val="28"/>
          <w:lang w:val="en-US" w:eastAsia="zh-CN"/>
        </w:rPr>
        <w:t>/</w:t>
      </w:r>
    </w:p>
    <w:p>
      <w:pPr>
        <w:spacing w:line="360" w:lineRule="auto"/>
        <w:ind w:left="6720" w:hanging="6720" w:hangingChars="2400"/>
        <w:rPr>
          <w:rFonts w:hint="default" w:ascii="Times New Roman" w:hAnsi="Times New Roman" w:eastAsia="仿宋" w:cs="Times New Roman"/>
          <w:color w:val="auto"/>
          <w:sz w:val="28"/>
          <w:lang w:val="en-US" w:eastAsia="zh-CN"/>
        </w:rPr>
      </w:pPr>
      <w:r>
        <w:rPr>
          <w:rFonts w:ascii="Times New Roman" w:hAnsi="Times New Roman" w:eastAsia="仿宋" w:cs="Times New Roman"/>
          <w:color w:val="auto"/>
          <w:sz w:val="28"/>
        </w:rPr>
        <w:t>邮编</w:t>
      </w:r>
      <w:r>
        <w:rPr>
          <w:rFonts w:hint="eastAsia" w:ascii="Times New Roman" w:hAnsi="Times New Roman" w:eastAsia="仿宋" w:cs="Times New Roman"/>
          <w:color w:val="auto"/>
          <w:sz w:val="28"/>
        </w:rPr>
        <w:t>：</w:t>
      </w:r>
      <w:r>
        <w:rPr>
          <w:rFonts w:hint="eastAsia" w:ascii="Times New Roman" w:hAnsi="Times New Roman" w:eastAsia="仿宋" w:cs="Times New Roman"/>
          <w:color w:val="auto"/>
          <w:sz w:val="28"/>
          <w:lang w:val="en-US" w:eastAsia="zh-CN"/>
        </w:rPr>
        <w:t>246000</w:t>
      </w:r>
      <w:r>
        <w:rPr>
          <w:rFonts w:ascii="Times New Roman" w:hAnsi="Times New Roman" w:eastAsia="仿宋" w:cs="Times New Roman"/>
          <w:color w:val="auto"/>
          <w:sz w:val="28"/>
        </w:rPr>
        <w:t xml:space="preserve">                            邮编：2300</w:t>
      </w:r>
      <w:r>
        <w:rPr>
          <w:rFonts w:hint="eastAsia" w:ascii="Times New Roman" w:hAnsi="Times New Roman" w:eastAsia="仿宋" w:cs="Times New Roman"/>
          <w:color w:val="auto"/>
          <w:sz w:val="28"/>
          <w:lang w:val="en-US" w:eastAsia="zh-CN"/>
        </w:rPr>
        <w:t>88</w:t>
      </w:r>
    </w:p>
    <w:p>
      <w:pPr>
        <w:spacing w:line="360" w:lineRule="auto"/>
        <w:ind w:left="6720" w:hanging="6720" w:hangingChars="2400"/>
        <w:rPr>
          <w:rFonts w:ascii="Times New Roman" w:hAnsi="Times New Roman" w:eastAsia="仿宋" w:cs="Times New Roman"/>
          <w:color w:val="auto"/>
          <w:sz w:val="28"/>
        </w:rPr>
      </w:pPr>
      <w:r>
        <w:rPr>
          <w:rFonts w:ascii="Times New Roman" w:hAnsi="Times New Roman" w:eastAsia="仿宋" w:cs="Times New Roman"/>
          <w:color w:val="auto"/>
          <w:sz w:val="28"/>
        </w:rPr>
        <w:t>地址</w:t>
      </w:r>
      <w:r>
        <w:rPr>
          <w:rFonts w:hint="eastAsia" w:ascii="Times New Roman" w:hAnsi="Times New Roman" w:eastAsia="仿宋" w:cs="Times New Roman"/>
          <w:color w:val="auto"/>
          <w:sz w:val="28"/>
        </w:rPr>
        <w:t>：</w:t>
      </w:r>
      <w:r>
        <w:rPr>
          <w:rFonts w:hint="default" w:ascii="Times New Roman" w:hAnsi="Times New Roman" w:eastAsia="仿宋" w:cs="Times New Roman"/>
          <w:color w:val="auto"/>
          <w:sz w:val="28"/>
          <w:lang w:val="en-US" w:eastAsia="zh-CN"/>
        </w:rPr>
        <w:t xml:space="preserve">安徽省安庆市大观区石化一路11号 </w:t>
      </w:r>
      <w:r>
        <w:rPr>
          <w:rFonts w:hint="eastAsia" w:ascii="Times New Roman" w:hAnsi="Times New Roman" w:eastAsia="仿宋" w:cs="Times New Roman"/>
          <w:color w:val="auto"/>
          <w:sz w:val="28"/>
        </w:rPr>
        <w:t xml:space="preserve"> </w:t>
      </w:r>
      <w:r>
        <w:rPr>
          <w:rFonts w:ascii="Times New Roman" w:hAnsi="Times New Roman" w:eastAsia="仿宋" w:cs="Times New Roman"/>
          <w:color w:val="auto"/>
          <w:sz w:val="28"/>
        </w:rPr>
        <w:t xml:space="preserve"> 地址：合肥市</w:t>
      </w:r>
      <w:r>
        <w:rPr>
          <w:rFonts w:hint="eastAsia" w:ascii="Times New Roman" w:hAnsi="Times New Roman" w:eastAsia="仿宋" w:cs="Times New Roman"/>
          <w:color w:val="auto"/>
          <w:sz w:val="28"/>
          <w:lang w:eastAsia="zh-CN"/>
        </w:rPr>
        <w:t>蜀山区湖光路</w:t>
      </w:r>
      <w:r>
        <w:rPr>
          <w:rFonts w:hint="eastAsia" w:ascii="Times New Roman" w:hAnsi="Times New Roman" w:eastAsia="仿宋" w:cs="Times New Roman"/>
          <w:color w:val="auto"/>
          <w:sz w:val="28"/>
          <w:lang w:val="en-US" w:eastAsia="zh-CN"/>
        </w:rPr>
        <w:t>1</w:t>
      </w:r>
      <w:r>
        <w:rPr>
          <w:rFonts w:ascii="Times New Roman" w:hAnsi="Times New Roman" w:eastAsia="仿宋" w:cs="Times New Roman"/>
          <w:color w:val="auto"/>
          <w:sz w:val="28"/>
        </w:rPr>
        <w:t>号</w:t>
      </w:r>
    </w:p>
    <w:p>
      <w:pPr>
        <w:spacing w:line="360" w:lineRule="auto"/>
        <w:rPr>
          <w:b/>
          <w:color w:val="auto"/>
          <w:sz w:val="32"/>
          <w:szCs w:val="32"/>
        </w:rPr>
      </w:pPr>
    </w:p>
    <w:p>
      <w:pPr>
        <w:spacing w:line="360" w:lineRule="auto"/>
        <w:rPr>
          <w:b/>
          <w:color w:val="auto"/>
          <w:sz w:val="32"/>
          <w:szCs w:val="32"/>
        </w:rPr>
        <w:sectPr>
          <w:headerReference r:id="rId3" w:type="default"/>
          <w:footerReference r:id="rId4" w:type="default"/>
          <w:pgSz w:w="11906" w:h="16838"/>
          <w:pgMar w:top="1440" w:right="1418" w:bottom="1440" w:left="1701" w:header="851" w:footer="992" w:gutter="0"/>
          <w:pgNumType w:fmt="numberInDash" w:start="1"/>
          <w:cols w:space="720" w:num="1"/>
          <w:docGrid w:type="linesAndChars" w:linePitch="312" w:charSpace="0"/>
        </w:sectPr>
      </w:pPr>
    </w:p>
    <w:sdt>
      <w:sdtPr>
        <w:rPr>
          <w:rFonts w:ascii="宋体" w:hAnsi="宋体" w:eastAsia="宋体" w:cs="宋体"/>
          <w:b/>
          <w:bCs/>
          <w:caps/>
          <w:color w:val="auto"/>
          <w:sz w:val="24"/>
          <w:szCs w:val="20"/>
          <w:lang w:val="zh-CN"/>
        </w:rPr>
        <w:id w:val="-901984053"/>
        <w:docPartObj>
          <w:docPartGallery w:val="Table of Contents"/>
          <w:docPartUnique/>
        </w:docPartObj>
      </w:sdtPr>
      <w:sdtEndPr>
        <w:rPr>
          <w:rStyle w:val="44"/>
          <w:rFonts w:ascii="Times New Roman" w:hAnsi="Times New Roman" w:cs="Times New Roman" w:eastAsiaTheme="minorEastAsia"/>
          <w:b/>
          <w:bCs/>
          <w:caps/>
          <w:color w:val="auto"/>
          <w:sz w:val="24"/>
          <w:szCs w:val="24"/>
          <w:u w:val="single"/>
          <w:lang w:val="en-US"/>
        </w:rPr>
      </w:sdtEndPr>
      <w:sdtContent>
        <w:p>
          <w:pPr>
            <w:pStyle w:val="77"/>
            <w:spacing w:before="0" w:line="480" w:lineRule="auto"/>
            <w:jc w:val="center"/>
            <w:rPr>
              <w:rFonts w:ascii="黑体" w:hAnsi="黑体" w:eastAsia="黑体"/>
              <w:color w:val="auto"/>
            </w:rPr>
          </w:pPr>
          <w:r>
            <w:rPr>
              <w:rFonts w:ascii="黑体" w:hAnsi="黑体" w:eastAsia="黑体"/>
              <w:color w:val="auto"/>
              <w:lang w:val="zh-CN"/>
            </w:rPr>
            <w:t>目</w:t>
          </w:r>
          <w:r>
            <w:rPr>
              <w:rFonts w:hint="eastAsia" w:ascii="黑体" w:hAnsi="黑体" w:eastAsia="黑体"/>
              <w:color w:val="auto"/>
              <w:lang w:val="zh-CN"/>
            </w:rPr>
            <w:t xml:space="preserve">      </w:t>
          </w:r>
          <w:r>
            <w:rPr>
              <w:rFonts w:ascii="黑体" w:hAnsi="黑体" w:eastAsia="黑体"/>
              <w:color w:val="auto"/>
              <w:lang w:val="zh-CN"/>
            </w:rPr>
            <w:t>录</w:t>
          </w:r>
        </w:p>
        <w:p>
          <w:pPr>
            <w:pStyle w:val="26"/>
            <w:tabs>
              <w:tab w:val="right" w:leader="dot" w:pos="8777"/>
            </w:tabs>
            <w:spacing w:before="0" w:after="0" w:line="360" w:lineRule="auto"/>
            <w:rPr>
              <w:rStyle w:val="44"/>
              <w:rFonts w:ascii="Times New Roman" w:hAnsi="Times New Roman" w:cs="Times New Roman"/>
              <w:b w:val="0"/>
              <w:bCs w:val="0"/>
              <w:caps w:val="0"/>
              <w:color w:val="auto"/>
              <w:szCs w:val="24"/>
              <w:u w:val="none"/>
            </w:rPr>
          </w:pPr>
          <w:r>
            <w:rPr>
              <w:rFonts w:ascii="Times New Roman" w:hAnsi="Times New Roman" w:cs="Times New Roman" w:eastAsiaTheme="minorEastAsia"/>
              <w:color w:val="auto"/>
              <w:szCs w:val="24"/>
            </w:rPr>
            <w:fldChar w:fldCharType="begin"/>
          </w:r>
          <w:r>
            <w:rPr>
              <w:rFonts w:ascii="Times New Roman" w:hAnsi="Times New Roman" w:cs="Times New Roman" w:eastAsiaTheme="minorEastAsia"/>
              <w:color w:val="auto"/>
              <w:szCs w:val="24"/>
            </w:rPr>
            <w:instrText xml:space="preserve"> TOC \o "1-3" \h \z \u </w:instrText>
          </w:r>
          <w:r>
            <w:rPr>
              <w:rFonts w:ascii="Times New Roman" w:hAnsi="Times New Roman" w:cs="Times New Roman" w:eastAsiaTheme="minorEastAsia"/>
              <w:color w:val="auto"/>
              <w:szCs w:val="24"/>
            </w:rPr>
            <w:fldChar w:fldCharType="separate"/>
          </w:r>
          <w:r>
            <w:rPr>
              <w:color w:val="auto"/>
            </w:rPr>
            <w:fldChar w:fldCharType="begin"/>
          </w:r>
          <w:r>
            <w:rPr>
              <w:color w:val="auto"/>
            </w:rPr>
            <w:instrText xml:space="preserve"> HYPERLINK \l "_Toc61439290"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rPr>
            <w:t>表一</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项目总体情况及验收监测依据、目的、标准</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_Toc61439290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1</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"_Toc61439291"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1  </w:t>
          </w:r>
          <w:r>
            <w:rPr>
              <w:rStyle w:val="44"/>
              <w:rFonts w:hint="eastAsia" w:ascii="Times New Roman" w:hAnsi="Times New Roman" w:cs="Times New Roman" w:eastAsiaTheme="minorEastAsia"/>
              <w:b w:val="0"/>
              <w:bCs w:val="0"/>
              <w:caps w:val="0"/>
              <w:color w:val="auto"/>
              <w:szCs w:val="24"/>
              <w:u w:val="none"/>
            </w:rPr>
            <w:t>法律法规</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_Toc61439291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1</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"_Toc61439292"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2  </w:t>
          </w:r>
          <w:r>
            <w:rPr>
              <w:rStyle w:val="44"/>
              <w:rFonts w:hint="eastAsia" w:ascii="Times New Roman" w:hAnsi="Times New Roman" w:cs="Times New Roman" w:eastAsiaTheme="minorEastAsia"/>
              <w:b w:val="0"/>
              <w:bCs w:val="0"/>
              <w:caps w:val="0"/>
              <w:color w:val="auto"/>
              <w:szCs w:val="24"/>
              <w:u w:val="none"/>
            </w:rPr>
            <w:t>技术规程规范</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_Toc61439292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2</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"_Toc61439293"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3  </w:t>
          </w:r>
          <w:r>
            <w:rPr>
              <w:rStyle w:val="44"/>
              <w:rFonts w:hint="eastAsia" w:ascii="Times New Roman" w:hAnsi="Times New Roman" w:cs="Times New Roman" w:eastAsiaTheme="minorEastAsia"/>
              <w:b w:val="0"/>
              <w:bCs w:val="0"/>
              <w:caps w:val="0"/>
              <w:color w:val="auto"/>
              <w:szCs w:val="24"/>
              <w:u w:val="none"/>
            </w:rPr>
            <w:t>其他</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_Toc61439293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2</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"_Toc61439294"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rPr>
            <w:t>表二</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工程建设内容、工艺流程及产污环节</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_Toc61439294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6</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"_Toc61439295"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1  </w:t>
          </w:r>
          <w:r>
            <w:rPr>
              <w:rStyle w:val="44"/>
              <w:rFonts w:hint="eastAsia" w:ascii="Times New Roman" w:hAnsi="Times New Roman" w:cs="Times New Roman" w:eastAsiaTheme="minorEastAsia"/>
              <w:b w:val="0"/>
              <w:bCs w:val="0"/>
              <w:caps w:val="0"/>
              <w:color w:val="auto"/>
              <w:szCs w:val="24"/>
              <w:u w:val="none"/>
            </w:rPr>
            <w:t>项目概况</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_Toc61439295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6</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"_Toc61439299"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2  </w:t>
          </w:r>
          <w:r>
            <w:rPr>
              <w:rStyle w:val="44"/>
              <w:rFonts w:hint="eastAsia" w:ascii="Times New Roman" w:hAnsi="Times New Roman" w:cs="Times New Roman" w:eastAsiaTheme="minorEastAsia"/>
              <w:b w:val="0"/>
              <w:bCs w:val="0"/>
              <w:caps w:val="0"/>
              <w:color w:val="auto"/>
              <w:szCs w:val="24"/>
              <w:u w:val="none"/>
            </w:rPr>
            <w:t>项目建设情况</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_Toc61439299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16</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"_Toc61439303"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rPr>
            <w:t>表三</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主要环境影响及污染防治措施</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_Toc61439303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23</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"_Toc61439304" </w:instrText>
          </w:r>
          <w:r>
            <w:rPr>
              <w:color w:val="auto"/>
            </w:rPr>
            <w:fldChar w:fldCharType="separate"/>
          </w:r>
          <w:r>
            <w:rPr>
              <w:rStyle w:val="44"/>
              <w:rFonts w:ascii="Times New Roman" w:hAnsi="Times New Roman" w:cs="Times New Roman" w:eastAsiaTheme="minorEastAsia"/>
              <w:b w:val="0"/>
              <w:bCs w:val="0"/>
              <w:caps w:val="0"/>
              <w:color w:val="auto"/>
              <w:szCs w:val="24"/>
              <w:u w:val="none"/>
            </w:rPr>
            <w:t>1</w:t>
          </w:r>
          <w:r>
            <w:rPr>
              <w:rStyle w:val="44"/>
              <w:rFonts w:ascii="Times New Roman" w:hAnsi="Times New Roman" w:cs="Times New Roman"/>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污染源项分析</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_Toc61439304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23</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"_Toc61439307" </w:instrText>
          </w:r>
          <w:r>
            <w:rPr>
              <w:color w:val="auto"/>
            </w:rPr>
            <w:fldChar w:fldCharType="separate"/>
          </w:r>
          <w:r>
            <w:rPr>
              <w:rStyle w:val="44"/>
              <w:rFonts w:ascii="Times New Roman" w:hAnsi="Times New Roman" w:cs="Times New Roman" w:eastAsiaTheme="minorEastAsia"/>
              <w:b w:val="0"/>
              <w:bCs w:val="0"/>
              <w:caps w:val="0"/>
              <w:color w:val="auto"/>
              <w:szCs w:val="24"/>
              <w:u w:val="none"/>
            </w:rPr>
            <w:t>2</w:t>
          </w:r>
          <w:r>
            <w:rPr>
              <w:rStyle w:val="44"/>
              <w:rFonts w:ascii="Times New Roman" w:hAnsi="Times New Roman" w:cs="Times New Roman"/>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污染物防治措施</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_Toc61439307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23</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"_Toc61439308"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rPr>
            <w:t>表四</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环境影响报告表主要结论及审批部门审批决定</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_Toc61439308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28</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"_Toc61439309"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1  </w:t>
          </w:r>
          <w:r>
            <w:rPr>
              <w:rStyle w:val="44"/>
              <w:rFonts w:hint="eastAsia" w:ascii="Times New Roman" w:hAnsi="Times New Roman" w:cs="Times New Roman" w:eastAsiaTheme="minorEastAsia"/>
              <w:b w:val="0"/>
              <w:bCs w:val="0"/>
              <w:caps w:val="0"/>
              <w:color w:val="auto"/>
              <w:szCs w:val="24"/>
              <w:u w:val="none"/>
            </w:rPr>
            <w:t>环境影响报告表主要结论</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_Toc61439309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28</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"_Toc61439310"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2  </w:t>
          </w:r>
          <w:r>
            <w:rPr>
              <w:rStyle w:val="44"/>
              <w:rFonts w:hint="eastAsia" w:ascii="Times New Roman" w:hAnsi="Times New Roman" w:cs="Times New Roman" w:eastAsiaTheme="minorEastAsia"/>
              <w:b w:val="0"/>
              <w:bCs w:val="0"/>
              <w:caps w:val="0"/>
              <w:color w:val="auto"/>
              <w:szCs w:val="24"/>
              <w:u w:val="none"/>
            </w:rPr>
            <w:t>审批部门的审批决定</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_Toc61439310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31</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"_Toc61439311"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rPr>
            <w:t>表五</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验收监测质量保证及质量控制</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_Toc61439311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34</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"_Toc61439312"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1  </w:t>
          </w:r>
          <w:r>
            <w:rPr>
              <w:rStyle w:val="44"/>
              <w:rFonts w:hint="eastAsia" w:ascii="Times New Roman" w:hAnsi="Times New Roman" w:cs="Times New Roman" w:eastAsiaTheme="minorEastAsia"/>
              <w:b w:val="0"/>
              <w:bCs w:val="0"/>
              <w:caps w:val="0"/>
              <w:color w:val="auto"/>
              <w:szCs w:val="24"/>
              <w:u w:val="none"/>
            </w:rPr>
            <w:t>验收监测</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_Toc61439312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34</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"_Toc61439313"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2  </w:t>
          </w:r>
          <w:r>
            <w:rPr>
              <w:rStyle w:val="44"/>
              <w:rFonts w:hint="eastAsia" w:ascii="Times New Roman" w:hAnsi="Times New Roman" w:cs="Times New Roman" w:eastAsiaTheme="minorEastAsia"/>
              <w:b w:val="0"/>
              <w:bCs w:val="0"/>
              <w:caps w:val="0"/>
              <w:color w:val="auto"/>
              <w:szCs w:val="24"/>
              <w:u w:val="none"/>
            </w:rPr>
            <w:t>验收监测因子</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_Toc61439313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34</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"_Toc61439314"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3  </w:t>
          </w:r>
          <w:r>
            <w:rPr>
              <w:rStyle w:val="44"/>
              <w:rFonts w:hint="eastAsia" w:ascii="Times New Roman" w:hAnsi="Times New Roman" w:cs="Times New Roman" w:eastAsiaTheme="minorEastAsia"/>
              <w:b w:val="0"/>
              <w:bCs w:val="0"/>
              <w:caps w:val="0"/>
              <w:color w:val="auto"/>
              <w:szCs w:val="24"/>
              <w:u w:val="none"/>
            </w:rPr>
            <w:t>验收监测内容</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_Toc61439314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34</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"_Toc61439315"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4  </w:t>
          </w:r>
          <w:r>
            <w:rPr>
              <w:rStyle w:val="44"/>
              <w:rFonts w:hint="eastAsia" w:ascii="Times New Roman" w:hAnsi="Times New Roman" w:cs="Times New Roman" w:eastAsiaTheme="minorEastAsia"/>
              <w:b w:val="0"/>
              <w:bCs w:val="0"/>
              <w:caps w:val="0"/>
              <w:color w:val="auto"/>
              <w:szCs w:val="24"/>
              <w:u w:val="none"/>
            </w:rPr>
            <w:t>监测工况</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_Toc61439315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34</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"_Toc61439316"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5  </w:t>
          </w:r>
          <w:r>
            <w:rPr>
              <w:rStyle w:val="44"/>
              <w:rFonts w:hint="eastAsia" w:ascii="Times New Roman" w:hAnsi="Times New Roman" w:cs="Times New Roman" w:eastAsiaTheme="minorEastAsia"/>
              <w:b w:val="0"/>
              <w:bCs w:val="0"/>
              <w:caps w:val="0"/>
              <w:color w:val="auto"/>
              <w:szCs w:val="24"/>
              <w:u w:val="none"/>
            </w:rPr>
            <w:t>监测布点</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_Toc61439316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34</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"_Toc61439317"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6  </w:t>
          </w:r>
          <w:r>
            <w:rPr>
              <w:rStyle w:val="44"/>
              <w:rFonts w:hint="eastAsia" w:ascii="Times New Roman" w:hAnsi="Times New Roman" w:cs="Times New Roman" w:eastAsiaTheme="minorEastAsia"/>
              <w:b w:val="0"/>
              <w:bCs w:val="0"/>
              <w:caps w:val="0"/>
              <w:color w:val="auto"/>
              <w:szCs w:val="24"/>
              <w:u w:val="none"/>
            </w:rPr>
            <w:t>监测仪器</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_Toc61439317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35</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"_Toc61439318"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7  </w:t>
          </w:r>
          <w:r>
            <w:rPr>
              <w:rStyle w:val="44"/>
              <w:rFonts w:hint="eastAsia" w:ascii="Times New Roman" w:hAnsi="Times New Roman" w:cs="Times New Roman" w:eastAsiaTheme="minorEastAsia"/>
              <w:b w:val="0"/>
              <w:bCs w:val="0"/>
              <w:caps w:val="0"/>
              <w:color w:val="auto"/>
              <w:szCs w:val="24"/>
              <w:u w:val="none"/>
            </w:rPr>
            <w:t>验收监测质量控制和保证</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_Toc61439318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35</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"_Toc61439319"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rPr>
            <w:t>表六</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监测结果及结论</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_Toc61439319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37</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"_Toc61439320" </w:instrText>
          </w:r>
          <w:r>
            <w:rPr>
              <w:color w:val="auto"/>
            </w:rPr>
            <w:fldChar w:fldCharType="separate"/>
          </w:r>
          <w:r>
            <w:rPr>
              <w:rStyle w:val="44"/>
              <w:rFonts w:ascii="Times New Roman" w:hAnsi="Times New Roman" w:cs="Times New Roman" w:eastAsiaTheme="minorEastAsia"/>
              <w:b w:val="0"/>
              <w:bCs w:val="0"/>
              <w:caps w:val="0"/>
              <w:color w:val="auto"/>
              <w:szCs w:val="24"/>
              <w:u w:val="none"/>
            </w:rPr>
            <w:t>1  DSA1</w:t>
          </w:r>
          <w:r>
            <w:rPr>
              <w:rStyle w:val="44"/>
              <w:rFonts w:hint="eastAsia" w:ascii="Times New Roman" w:hAnsi="Times New Roman" w:cs="Times New Roman" w:eastAsiaTheme="minorEastAsia"/>
              <w:b w:val="0"/>
              <w:bCs w:val="0"/>
              <w:caps w:val="0"/>
              <w:color w:val="auto"/>
              <w:szCs w:val="24"/>
              <w:u w:val="none"/>
            </w:rPr>
            <w:t>机房监测结果</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_Toc61439320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37</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"_Toc61439322"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lang w:val="en-US" w:eastAsia="zh-CN"/>
            </w:rPr>
            <w:t>2</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验收监测结论</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_Toc61439322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38</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"_Toc61439323"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lang w:val="en-US" w:eastAsia="zh-CN"/>
            </w:rPr>
            <w:t>3</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公众个人剂量估算</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_Toc61439323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38</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"_Toc61439326"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rPr>
            <w:t>表七</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核与辐射安全管理检查结果</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_Toc61439326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40</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"_Toc61439327"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1  </w:t>
          </w:r>
          <w:r>
            <w:rPr>
              <w:rStyle w:val="44"/>
              <w:rFonts w:hint="eastAsia" w:ascii="Times New Roman" w:hAnsi="Times New Roman" w:cs="Times New Roman" w:eastAsiaTheme="minorEastAsia"/>
              <w:b w:val="0"/>
              <w:bCs w:val="0"/>
              <w:caps w:val="0"/>
              <w:color w:val="auto"/>
              <w:szCs w:val="24"/>
              <w:u w:val="none"/>
            </w:rPr>
            <w:t>核与辐射安全管理检查结果</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_Toc61439327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40</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"_Toc61439330"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2  </w:t>
          </w:r>
          <w:r>
            <w:rPr>
              <w:rStyle w:val="44"/>
              <w:rFonts w:hint="eastAsia" w:ascii="Times New Roman" w:hAnsi="Times New Roman" w:cs="Times New Roman" w:eastAsiaTheme="minorEastAsia"/>
              <w:b w:val="0"/>
              <w:bCs w:val="0"/>
              <w:caps w:val="0"/>
              <w:color w:val="auto"/>
              <w:szCs w:val="24"/>
              <w:u w:val="none"/>
            </w:rPr>
            <w:t>法规执行情况</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_Toc61439330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41</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eastAsiaTheme="minorEastAsia"/>
              <w:b w:val="0"/>
              <w:bCs w:val="0"/>
              <w:caps w:val="0"/>
              <w:color w:val="auto"/>
              <w:szCs w:val="24"/>
              <w:u w:val="none"/>
            </w:rPr>
          </w:pPr>
          <w:r>
            <w:rPr>
              <w:color w:val="auto"/>
            </w:rPr>
            <w:fldChar w:fldCharType="begin"/>
          </w:r>
          <w:r>
            <w:rPr>
              <w:color w:val="auto"/>
            </w:rPr>
            <w:instrText xml:space="preserve"> HYPERLINK \l "_Toc61439337"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3  </w:t>
          </w:r>
          <w:r>
            <w:rPr>
              <w:rStyle w:val="44"/>
              <w:rFonts w:hint="eastAsia" w:ascii="Times New Roman" w:hAnsi="Times New Roman" w:cs="Times New Roman" w:eastAsiaTheme="minorEastAsia"/>
              <w:b w:val="0"/>
              <w:bCs w:val="0"/>
              <w:caps w:val="0"/>
              <w:color w:val="auto"/>
              <w:szCs w:val="24"/>
              <w:u w:val="none"/>
            </w:rPr>
            <w:t>人员管理</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_Toc61439337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41</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rPr>
              <w:rStyle w:val="44"/>
              <w:rFonts w:ascii="Times New Roman" w:hAnsi="Times New Roman" w:cs="Times New Roman"/>
              <w:b w:val="0"/>
              <w:bCs w:val="0"/>
              <w:caps w:val="0"/>
              <w:color w:val="auto"/>
              <w:szCs w:val="24"/>
              <w:u w:val="none"/>
            </w:rPr>
          </w:pPr>
          <w:r>
            <w:rPr>
              <w:color w:val="auto"/>
            </w:rPr>
            <w:fldChar w:fldCharType="begin"/>
          </w:r>
          <w:r>
            <w:rPr>
              <w:color w:val="auto"/>
            </w:rPr>
            <w:instrText xml:space="preserve"> HYPERLINK \l "_Toc61439342" </w:instrText>
          </w:r>
          <w:r>
            <w:rPr>
              <w:color w:val="auto"/>
            </w:rPr>
            <w:fldChar w:fldCharType="separate"/>
          </w:r>
          <w:r>
            <w:rPr>
              <w:rStyle w:val="44"/>
              <w:rFonts w:hint="eastAsia" w:ascii="Times New Roman" w:hAnsi="Times New Roman" w:cs="Times New Roman" w:eastAsiaTheme="minorEastAsia"/>
              <w:b w:val="0"/>
              <w:bCs w:val="0"/>
              <w:caps w:val="0"/>
              <w:color w:val="auto"/>
              <w:szCs w:val="24"/>
              <w:u w:val="none"/>
            </w:rPr>
            <w:t>表八</w:t>
          </w:r>
          <w:r>
            <w:rPr>
              <w:rStyle w:val="44"/>
              <w:rFonts w:ascii="Times New Roman" w:hAnsi="Times New Roman" w:cs="Times New Roman" w:eastAsiaTheme="minorEastAsia"/>
              <w:b w:val="0"/>
              <w:bCs w:val="0"/>
              <w:caps w:val="0"/>
              <w:color w:val="auto"/>
              <w:szCs w:val="24"/>
              <w:u w:val="none"/>
            </w:rPr>
            <w:t xml:space="preserve">  </w:t>
          </w:r>
          <w:r>
            <w:rPr>
              <w:rStyle w:val="44"/>
              <w:rFonts w:hint="eastAsia" w:ascii="Times New Roman" w:hAnsi="Times New Roman" w:cs="Times New Roman" w:eastAsiaTheme="minorEastAsia"/>
              <w:b w:val="0"/>
              <w:bCs w:val="0"/>
              <w:caps w:val="0"/>
              <w:color w:val="auto"/>
              <w:szCs w:val="24"/>
              <w:u w:val="none"/>
            </w:rPr>
            <w:t>验收结论及建议</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_Toc61439342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45</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"_Toc61439343"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1  </w:t>
          </w:r>
          <w:r>
            <w:rPr>
              <w:rStyle w:val="44"/>
              <w:rFonts w:hint="eastAsia" w:ascii="Times New Roman" w:hAnsi="Times New Roman" w:cs="Times New Roman" w:eastAsiaTheme="minorEastAsia"/>
              <w:b w:val="0"/>
              <w:bCs w:val="0"/>
              <w:caps w:val="0"/>
              <w:color w:val="auto"/>
              <w:szCs w:val="24"/>
              <w:u w:val="none"/>
            </w:rPr>
            <w:t>结论</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_Toc61439343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45</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ind w:firstLine="240" w:firstLineChars="100"/>
            <w:rPr>
              <w:rStyle w:val="44"/>
              <w:rFonts w:ascii="Times New Roman" w:hAnsi="Times New Roman" w:cs="Times New Roman"/>
              <w:color w:val="auto"/>
              <w:szCs w:val="24"/>
              <w:u w:val="none"/>
            </w:rPr>
          </w:pPr>
          <w:r>
            <w:rPr>
              <w:color w:val="auto"/>
            </w:rPr>
            <w:fldChar w:fldCharType="begin"/>
          </w:r>
          <w:r>
            <w:rPr>
              <w:color w:val="auto"/>
            </w:rPr>
            <w:instrText xml:space="preserve"> HYPERLINK \l "_Toc61439344" </w:instrText>
          </w:r>
          <w:r>
            <w:rPr>
              <w:color w:val="auto"/>
            </w:rPr>
            <w:fldChar w:fldCharType="separate"/>
          </w:r>
          <w:r>
            <w:rPr>
              <w:rStyle w:val="44"/>
              <w:rFonts w:ascii="Times New Roman" w:hAnsi="Times New Roman" w:cs="Times New Roman" w:eastAsiaTheme="minorEastAsia"/>
              <w:b w:val="0"/>
              <w:bCs w:val="0"/>
              <w:caps w:val="0"/>
              <w:color w:val="auto"/>
              <w:szCs w:val="24"/>
              <w:u w:val="none"/>
            </w:rPr>
            <w:t xml:space="preserve">2  </w:t>
          </w:r>
          <w:r>
            <w:rPr>
              <w:rStyle w:val="44"/>
              <w:rFonts w:hint="eastAsia" w:ascii="Times New Roman" w:hAnsi="Times New Roman" w:cs="Times New Roman" w:eastAsiaTheme="minorEastAsia"/>
              <w:b w:val="0"/>
              <w:bCs w:val="0"/>
              <w:caps w:val="0"/>
              <w:color w:val="auto"/>
              <w:szCs w:val="24"/>
              <w:u w:val="none"/>
            </w:rPr>
            <w:t>建议</w:t>
          </w:r>
          <w:r>
            <w:rPr>
              <w:rStyle w:val="44"/>
              <w:rFonts w:ascii="Times New Roman" w:hAnsi="Times New Roman" w:cs="Times New Roman" w:eastAsiaTheme="minorEastAsia"/>
              <w:b w:val="0"/>
              <w:bCs w:val="0"/>
              <w:caps w:val="0"/>
              <w:color w:val="auto"/>
              <w:szCs w:val="24"/>
              <w:u w:val="none"/>
            </w:rPr>
            <w:tab/>
          </w:r>
          <w:r>
            <w:rPr>
              <w:rStyle w:val="44"/>
              <w:rFonts w:ascii="Times New Roman" w:hAnsi="Times New Roman" w:cs="Times New Roman" w:eastAsiaTheme="minorEastAsia"/>
              <w:b w:val="0"/>
              <w:bCs w:val="0"/>
              <w:caps w:val="0"/>
              <w:color w:val="auto"/>
              <w:szCs w:val="24"/>
              <w:u w:val="none"/>
            </w:rPr>
            <w:fldChar w:fldCharType="begin"/>
          </w:r>
          <w:r>
            <w:rPr>
              <w:rStyle w:val="44"/>
              <w:rFonts w:ascii="Times New Roman" w:hAnsi="Times New Roman" w:cs="Times New Roman" w:eastAsiaTheme="minorEastAsia"/>
              <w:b w:val="0"/>
              <w:bCs w:val="0"/>
              <w:caps w:val="0"/>
              <w:color w:val="auto"/>
              <w:szCs w:val="24"/>
              <w:u w:val="none"/>
            </w:rPr>
            <w:instrText xml:space="preserve"> PAGEREF _Toc61439344 \h </w:instrText>
          </w:r>
          <w:r>
            <w:rPr>
              <w:rStyle w:val="44"/>
              <w:rFonts w:ascii="Times New Roman" w:hAnsi="Times New Roman" w:cs="Times New Roman" w:eastAsiaTheme="minorEastAsia"/>
              <w:b w:val="0"/>
              <w:bCs w:val="0"/>
              <w:caps w:val="0"/>
              <w:color w:val="auto"/>
              <w:szCs w:val="24"/>
              <w:u w:val="none"/>
            </w:rPr>
            <w:fldChar w:fldCharType="separate"/>
          </w:r>
          <w:r>
            <w:rPr>
              <w:rStyle w:val="44"/>
              <w:rFonts w:ascii="Times New Roman" w:hAnsi="Times New Roman" w:cs="Times New Roman" w:eastAsiaTheme="minorEastAsia"/>
              <w:b w:val="0"/>
              <w:bCs w:val="0"/>
              <w:caps w:val="0"/>
              <w:color w:val="auto"/>
              <w:szCs w:val="24"/>
              <w:u w:val="none"/>
            </w:rPr>
            <w:t>45</w:t>
          </w:r>
          <w:r>
            <w:rPr>
              <w:rStyle w:val="44"/>
              <w:rFonts w:ascii="Times New Roman" w:hAnsi="Times New Roman" w:cs="Times New Roman" w:eastAsiaTheme="minorEastAsia"/>
              <w:b w:val="0"/>
              <w:bCs w:val="0"/>
              <w:caps w:val="0"/>
              <w:color w:val="auto"/>
              <w:szCs w:val="24"/>
              <w:u w:val="none"/>
            </w:rPr>
            <w:fldChar w:fldCharType="end"/>
          </w:r>
          <w:r>
            <w:rPr>
              <w:rStyle w:val="44"/>
              <w:rFonts w:ascii="Times New Roman" w:hAnsi="Times New Roman" w:cs="Times New Roman" w:eastAsiaTheme="minorEastAsia"/>
              <w:b w:val="0"/>
              <w:bCs w:val="0"/>
              <w:caps w:val="0"/>
              <w:color w:val="auto"/>
              <w:szCs w:val="24"/>
              <w:u w:val="none"/>
            </w:rPr>
            <w:fldChar w:fldCharType="end"/>
          </w:r>
        </w:p>
        <w:p>
          <w:pPr>
            <w:pStyle w:val="26"/>
            <w:tabs>
              <w:tab w:val="right" w:leader="dot" w:pos="8777"/>
            </w:tabs>
            <w:spacing w:before="0" w:after="0" w:line="360" w:lineRule="auto"/>
            <w:rPr>
              <w:rStyle w:val="44"/>
              <w:rFonts w:ascii="Times New Roman" w:hAnsi="Times New Roman" w:cs="Times New Roman" w:eastAsiaTheme="minorEastAsia"/>
              <w:b w:val="0"/>
              <w:bCs w:val="0"/>
              <w:color w:val="auto"/>
              <w:u w:val="none"/>
              <w:lang w:val="zh-CN"/>
            </w:rPr>
          </w:pPr>
          <w:r>
            <w:rPr>
              <w:rFonts w:ascii="Times New Roman" w:hAnsi="Times New Roman" w:cs="Times New Roman" w:eastAsiaTheme="minorEastAsia"/>
              <w:bCs w:val="0"/>
              <w:color w:val="auto"/>
              <w:lang w:val="zh-CN"/>
            </w:rPr>
            <w:fldChar w:fldCharType="end"/>
          </w:r>
        </w:p>
      </w:sdtContent>
    </w:sdt>
    <w:p>
      <w:pPr>
        <w:spacing w:before="156" w:beforeLines="50" w:line="360" w:lineRule="auto"/>
        <w:jc w:val="center"/>
        <w:rPr>
          <w:rFonts w:ascii="黑体" w:hAnsi="黑体" w:eastAsia="黑体" w:cs="Times New Roman"/>
          <w:b/>
          <w:color w:val="auto"/>
          <w:spacing w:val="8"/>
          <w:kern w:val="10"/>
          <w:sz w:val="36"/>
          <w:szCs w:val="36"/>
        </w:rPr>
      </w:pPr>
    </w:p>
    <w:p>
      <w:pPr>
        <w:spacing w:before="156" w:beforeLines="50" w:line="360" w:lineRule="auto"/>
        <w:jc w:val="center"/>
        <w:rPr>
          <w:rFonts w:ascii="黑体" w:hAnsi="黑体" w:eastAsia="黑体" w:cs="Times New Roman"/>
          <w:b/>
          <w:color w:val="auto"/>
          <w:spacing w:val="8"/>
          <w:kern w:val="10"/>
          <w:sz w:val="36"/>
          <w:szCs w:val="36"/>
        </w:rPr>
        <w:sectPr>
          <w:headerReference r:id="rId5" w:type="default"/>
          <w:footerReference r:id="rId6" w:type="default"/>
          <w:pgSz w:w="11906" w:h="16838"/>
          <w:pgMar w:top="1701" w:right="1418" w:bottom="1440" w:left="1701" w:header="851" w:footer="992" w:gutter="0"/>
          <w:pgNumType w:fmt="upperRoman" w:start="1"/>
          <w:cols w:space="720" w:num="1"/>
          <w:docGrid w:type="linesAndChars" w:linePitch="312" w:charSpace="0"/>
        </w:sectPr>
      </w:pPr>
    </w:p>
    <w:p>
      <w:pPr>
        <w:spacing w:before="156" w:beforeLines="50" w:line="360" w:lineRule="auto"/>
        <w:jc w:val="center"/>
        <w:rPr>
          <w:rFonts w:ascii="黑体" w:hAnsi="黑体" w:eastAsia="黑体" w:cs="Times New Roman"/>
          <w:b/>
          <w:color w:val="auto"/>
          <w:spacing w:val="8"/>
          <w:kern w:val="10"/>
          <w:sz w:val="32"/>
          <w:szCs w:val="32"/>
        </w:rPr>
      </w:pPr>
      <w:r>
        <w:rPr>
          <w:rFonts w:hint="default" w:ascii="黑体" w:hAnsi="黑体" w:eastAsia="黑体" w:cs="Times New Roman"/>
          <w:b/>
          <w:color w:val="auto"/>
          <w:spacing w:val="8"/>
          <w:kern w:val="10"/>
          <w:sz w:val="32"/>
          <w:szCs w:val="32"/>
          <w:lang w:val="en-US" w:eastAsia="zh-CN"/>
        </w:rPr>
        <w:t>安庆市石化医院DSA项目</w:t>
      </w:r>
      <w:r>
        <w:rPr>
          <w:rFonts w:hint="eastAsia" w:ascii="黑体" w:hAnsi="黑体" w:eastAsia="黑体" w:cs="Times New Roman"/>
          <w:b/>
          <w:color w:val="auto"/>
          <w:spacing w:val="8"/>
          <w:kern w:val="10"/>
          <w:sz w:val="32"/>
          <w:szCs w:val="32"/>
        </w:rPr>
        <w:t>竣工环境保护验收监测报告表</w:t>
      </w:r>
    </w:p>
    <w:p>
      <w:pPr>
        <w:pStyle w:val="4"/>
        <w:spacing w:line="360" w:lineRule="auto"/>
        <w:jc w:val="center"/>
        <w:rPr>
          <w:rFonts w:ascii="仿宋" w:hAnsi="仿宋" w:eastAsia="仿宋"/>
          <w:color w:val="auto"/>
          <w:sz w:val="28"/>
          <w:szCs w:val="28"/>
        </w:rPr>
      </w:pPr>
      <w:bookmarkStart w:id="4" w:name="_Toc61439290"/>
      <w:r>
        <w:rPr>
          <w:rFonts w:hint="eastAsia" w:ascii="仿宋" w:hAnsi="仿宋" w:eastAsia="仿宋"/>
          <w:color w:val="auto"/>
          <w:sz w:val="28"/>
          <w:szCs w:val="28"/>
        </w:rPr>
        <w:t>表</w:t>
      </w:r>
      <w:r>
        <w:rPr>
          <w:rFonts w:ascii="仿宋" w:hAnsi="仿宋" w:eastAsia="仿宋"/>
          <w:color w:val="auto"/>
          <w:sz w:val="28"/>
          <w:szCs w:val="28"/>
        </w:rPr>
        <w:t>一</w:t>
      </w:r>
      <w:r>
        <w:rPr>
          <w:rFonts w:hint="eastAsia" w:ascii="仿宋" w:hAnsi="仿宋" w:eastAsia="仿宋"/>
          <w:color w:val="auto"/>
          <w:sz w:val="28"/>
          <w:szCs w:val="28"/>
        </w:rPr>
        <w:t xml:space="preserve">  项目总体情况及验收监测依据、目的、标准</w:t>
      </w:r>
      <w:bookmarkEnd w:id="4"/>
    </w:p>
    <w:tbl>
      <w:tblPr>
        <w:tblStyle w:val="38"/>
        <w:tblW w:w="97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166"/>
        <w:gridCol w:w="772"/>
        <w:gridCol w:w="716"/>
        <w:gridCol w:w="248"/>
        <w:gridCol w:w="1158"/>
        <w:gridCol w:w="326"/>
        <w:gridCol w:w="690"/>
        <w:gridCol w:w="893"/>
        <w:gridCol w:w="127"/>
        <w:gridCol w:w="990"/>
        <w:gridCol w:w="9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76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建设项目名称</w:t>
            </w:r>
          </w:p>
        </w:tc>
        <w:tc>
          <w:tcPr>
            <w:tcW w:w="7995"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default" w:ascii="Times New Roman" w:hAnsi="Times New Roman" w:eastAsia="宋体" w:cs="Times New Roman"/>
                <w:color w:val="auto"/>
                <w:sz w:val="21"/>
                <w:szCs w:val="21"/>
                <w:lang w:val="en-US" w:eastAsia="zh-CN"/>
              </w:rPr>
              <w:t>安庆市石化医院DSA项目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76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建设单位名称</w:t>
            </w:r>
          </w:p>
        </w:tc>
        <w:tc>
          <w:tcPr>
            <w:tcW w:w="7995" w:type="dxa"/>
            <w:gridSpan w:val="11"/>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default" w:ascii="Times New Roman" w:hAnsi="Times New Roman" w:eastAsia="宋体" w:cs="Times New Roman"/>
                <w:color w:val="auto"/>
                <w:sz w:val="21"/>
                <w:szCs w:val="21"/>
                <w:lang w:val="en-US" w:eastAsia="zh-CN"/>
              </w:rPr>
              <w:t>南京鼓楼医院集团安庆市石化医院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76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法人</w:t>
            </w:r>
            <w:r>
              <w:rPr>
                <w:color w:val="auto"/>
              </w:rPr>
              <w:t>代表</w:t>
            </w:r>
          </w:p>
        </w:tc>
        <w:tc>
          <w:tcPr>
            <w:tcW w:w="116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color w:val="auto"/>
                <w:sz w:val="24"/>
                <w:lang w:eastAsia="zh-CN"/>
              </w:rPr>
              <w:t>陈胜</w:t>
            </w:r>
          </w:p>
        </w:tc>
        <w:tc>
          <w:tcPr>
            <w:tcW w:w="148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color w:val="auto"/>
                <w:sz w:val="24"/>
              </w:rPr>
              <w:t>联系人</w:t>
            </w:r>
          </w:p>
        </w:tc>
        <w:tc>
          <w:tcPr>
            <w:tcW w:w="1732"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val="en-US" w:eastAsia="zh-CN"/>
              </w:rPr>
            </w:pPr>
            <w:r>
              <w:rPr>
                <w:rFonts w:hint="eastAsia"/>
                <w:color w:val="auto"/>
                <w:sz w:val="24"/>
                <w:szCs w:val="24"/>
                <w:lang w:eastAsia="zh-CN"/>
              </w:rPr>
              <w:t>吴彬</w:t>
            </w:r>
          </w:p>
        </w:tc>
        <w:tc>
          <w:tcPr>
            <w:tcW w:w="15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color w:val="auto"/>
                <w:sz w:val="24"/>
                <w:szCs w:val="24"/>
              </w:rPr>
              <w:t>联系电话</w:t>
            </w:r>
          </w:p>
        </w:tc>
        <w:tc>
          <w:tcPr>
            <w:tcW w:w="2026"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color w:val="auto"/>
                <w:sz w:val="24"/>
                <w:lang w:val="en-US" w:eastAsia="zh-CN"/>
              </w:rPr>
              <w:t>15005566817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76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建设项目性质</w:t>
            </w:r>
          </w:p>
        </w:tc>
        <w:tc>
          <w:tcPr>
            <w:tcW w:w="7995"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新建</w:t>
            </w:r>
            <w:r>
              <w:rPr>
                <w:rFonts w:ascii="Times New Roman" w:hAnsi="Times New Roman" w:cs="Times New Roman"/>
                <w:color w:val="auto"/>
              </w:rPr>
              <w:sym w:font="Wingdings" w:char="00FE"/>
            </w:r>
            <w:r>
              <w:rPr>
                <w:rFonts w:ascii="Times New Roman" w:hAnsi="Times New Roman" w:cs="Times New Roman"/>
                <w:color w:val="auto"/>
              </w:rPr>
              <w:t xml:space="preserve">  改建</w:t>
            </w:r>
            <w:r>
              <w:rPr>
                <w:rFonts w:ascii="Times New Roman" w:hAnsi="Times New Roman" w:cs="Times New Roman"/>
                <w:color w:val="auto"/>
              </w:rPr>
              <w:sym w:font="Wingdings" w:char="00A8"/>
            </w:r>
            <w:r>
              <w:rPr>
                <w:rFonts w:ascii="Times New Roman" w:hAnsi="Times New Roman" w:cs="Times New Roman"/>
                <w:color w:val="auto"/>
              </w:rPr>
              <w:t xml:space="preserve"> </w:t>
            </w:r>
            <w:r>
              <w:rPr>
                <w:rFonts w:hint="eastAsia" w:ascii="Times New Roman" w:hAnsi="Times New Roman" w:cs="Times New Roman"/>
                <w:color w:val="auto"/>
                <w:lang w:val="en-US" w:eastAsia="zh-CN"/>
              </w:rPr>
              <w:t xml:space="preserve"> 扩</w:t>
            </w:r>
            <w:r>
              <w:rPr>
                <w:rFonts w:ascii="Times New Roman" w:hAnsi="Times New Roman" w:cs="Times New Roman"/>
                <w:color w:val="auto"/>
              </w:rPr>
              <w:t>建</w:t>
            </w:r>
            <w:r>
              <w:rPr>
                <w:rFonts w:ascii="Times New Roman" w:hAnsi="Times New Roman" w:cs="Times New Roman"/>
                <w:color w:val="auto"/>
              </w:rPr>
              <w:sym w:font="Wingdings" w:char="00A8"/>
            </w:r>
            <w:r>
              <w:rPr>
                <w:rFonts w:ascii="Times New Roman" w:hAnsi="Times New Roman" w:cs="Times New Roman"/>
                <w:color w:val="auto"/>
              </w:rPr>
              <w:t xml:space="preserve"> 技改</w:t>
            </w:r>
            <w:r>
              <w:rPr>
                <w:rFonts w:ascii="Times New Roman" w:hAnsi="Times New Roman" w:cs="Times New Roman"/>
                <w:color w:val="auto"/>
              </w:rPr>
              <w:sym w:font="Wingdings" w:char="F0A8"/>
            </w:r>
            <w:r>
              <w:rPr>
                <w:rFonts w:ascii="Times New Roman" w:hAnsi="Times New Roman" w:cs="Times New Roman"/>
                <w:color w:val="auto"/>
              </w:rPr>
              <w:t xml:space="preserve">  迁建</w:t>
            </w:r>
            <w:r>
              <w:rPr>
                <w:rFonts w:ascii="Times New Roman" w:hAnsi="Times New Roman" w:cs="Times New Roman"/>
                <w:color w:val="auto"/>
              </w:rPr>
              <w:sym w:font="Wingdings" w:char="F0A8"/>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76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建设地点</w:t>
            </w:r>
          </w:p>
        </w:tc>
        <w:tc>
          <w:tcPr>
            <w:tcW w:w="7995"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default" w:ascii="Times New Roman" w:hAnsi="Times New Roman" w:eastAsia="宋体" w:cs="Times New Roman"/>
                <w:color w:val="auto"/>
                <w:sz w:val="21"/>
                <w:szCs w:val="21"/>
                <w:lang w:val="en-US" w:eastAsia="zh-CN"/>
              </w:rPr>
              <w:t>安徽省安庆市大观区石化一路11号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76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项目用途</w:t>
            </w:r>
          </w:p>
        </w:tc>
        <w:tc>
          <w:tcPr>
            <w:tcW w:w="7995"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放射</w:t>
            </w:r>
            <w:r>
              <w:rPr>
                <w:rFonts w:ascii="Times New Roman" w:hAnsi="Times New Roman" w:cs="Times New Roman"/>
                <w:color w:val="auto"/>
              </w:rPr>
              <w:t>诊断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76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项目依据</w:t>
            </w:r>
          </w:p>
        </w:tc>
        <w:tc>
          <w:tcPr>
            <w:tcW w:w="7995"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宜环建函[2021] 1</w:t>
            </w:r>
            <w:r>
              <w:rPr>
                <w:rFonts w:hint="eastAsia" w:ascii="Times New Roman" w:hAnsi="Times New Roman" w:cs="Times New Roman"/>
                <w:color w:val="auto"/>
                <w:lang w:val="en-US" w:eastAsia="zh-CN"/>
              </w:rPr>
              <w:t>8</w:t>
            </w:r>
            <w:r>
              <w:rPr>
                <w:rFonts w:hint="eastAsia" w:ascii="Times New Roman" w:hAnsi="Times New Roman" w:cs="Times New Roman"/>
                <w:color w:val="auto"/>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69" w:type="dxa"/>
            <w:tcBorders>
              <w:top w:val="single" w:color="auto" w:sz="4" w:space="0"/>
              <w:left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建设项目</w:t>
            </w:r>
          </w:p>
          <w:p>
            <w:pPr>
              <w:jc w:val="center"/>
              <w:rPr>
                <w:rFonts w:ascii="Times New Roman" w:hAnsi="Times New Roman" w:cs="Times New Roman"/>
                <w:color w:val="auto"/>
              </w:rPr>
            </w:pPr>
            <w:r>
              <w:rPr>
                <w:rFonts w:ascii="Times New Roman" w:hAnsi="Times New Roman" w:cs="Times New Roman"/>
                <w:color w:val="auto"/>
              </w:rPr>
              <w:t>环评时间</w:t>
            </w:r>
          </w:p>
        </w:tc>
        <w:tc>
          <w:tcPr>
            <w:tcW w:w="2902" w:type="dxa"/>
            <w:gridSpan w:val="4"/>
            <w:tcBorders>
              <w:top w:val="single" w:color="auto" w:sz="4" w:space="0"/>
              <w:bottom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lang w:val="en-US" w:eastAsia="zh-CN"/>
              </w:rPr>
              <w:t>2021</w:t>
            </w:r>
            <w:r>
              <w:rPr>
                <w:rFonts w:hint="eastAsia" w:ascii="Times New Roman" w:hAnsi="Times New Roman" w:cs="Times New Roman"/>
                <w:color w:val="auto"/>
              </w:rPr>
              <w:t>年</w:t>
            </w:r>
            <w:r>
              <w:rPr>
                <w:rFonts w:hint="eastAsia" w:ascii="Times New Roman" w:hAnsi="Times New Roman" w:cs="Times New Roman"/>
                <w:color w:val="auto"/>
                <w:lang w:val="en-US" w:eastAsia="zh-CN"/>
              </w:rPr>
              <w:t>5</w:t>
            </w:r>
            <w:r>
              <w:rPr>
                <w:rFonts w:hint="eastAsia" w:ascii="Times New Roman" w:hAnsi="Times New Roman" w:cs="Times New Roman"/>
                <w:color w:val="auto"/>
              </w:rPr>
              <w:t>月</w:t>
            </w:r>
          </w:p>
        </w:tc>
        <w:tc>
          <w:tcPr>
            <w:tcW w:w="2174" w:type="dxa"/>
            <w:gridSpan w:val="3"/>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开工建设时间</w:t>
            </w:r>
          </w:p>
        </w:tc>
        <w:tc>
          <w:tcPr>
            <w:tcW w:w="2919" w:type="dxa"/>
            <w:gridSpan w:val="4"/>
            <w:tcBorders>
              <w:top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201</w:t>
            </w:r>
            <w:r>
              <w:rPr>
                <w:rFonts w:hint="eastAsia" w:ascii="Times New Roman" w:hAnsi="Times New Roman" w:cs="Times New Roman"/>
                <w:color w:val="auto"/>
                <w:lang w:val="en-US" w:eastAsia="zh-CN"/>
              </w:rPr>
              <w:t>4</w:t>
            </w:r>
            <w:r>
              <w:rPr>
                <w:rFonts w:hint="eastAsia" w:ascii="Times New Roman" w:hAnsi="Times New Roman" w:cs="Times New Roman"/>
                <w:color w:val="auto"/>
              </w:rPr>
              <w:t>年</w:t>
            </w:r>
            <w:r>
              <w:rPr>
                <w:rFonts w:hint="eastAsia" w:ascii="Times New Roman" w:hAnsi="Times New Roman" w:cs="Times New Roman"/>
                <w:color w:val="auto"/>
                <w:lang w:val="en-US" w:eastAsia="zh-CN"/>
              </w:rPr>
              <w:t>4</w:t>
            </w:r>
            <w:r>
              <w:rPr>
                <w:rFonts w:hint="eastAsia" w:ascii="Times New Roman" w:hAnsi="Times New Roman" w:cs="Times New Roman"/>
                <w:color w:val="auto"/>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1769" w:type="dxa"/>
            <w:tcBorders>
              <w:top w:val="single" w:color="auto" w:sz="4" w:space="0"/>
              <w:left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调试时间</w:t>
            </w:r>
          </w:p>
        </w:tc>
        <w:tc>
          <w:tcPr>
            <w:tcW w:w="2902" w:type="dxa"/>
            <w:gridSpan w:val="4"/>
            <w:tcBorders>
              <w:top w:val="single" w:color="auto" w:sz="4" w:space="0"/>
              <w:bottom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w:t>
            </w:r>
          </w:p>
        </w:tc>
        <w:tc>
          <w:tcPr>
            <w:tcW w:w="2174" w:type="dxa"/>
            <w:gridSpan w:val="3"/>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验收现场监测时间</w:t>
            </w:r>
          </w:p>
        </w:tc>
        <w:tc>
          <w:tcPr>
            <w:tcW w:w="2919" w:type="dxa"/>
            <w:gridSpan w:val="4"/>
            <w:tcBorders>
              <w:top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02</w:t>
            </w:r>
            <w:r>
              <w:rPr>
                <w:rFonts w:hint="eastAsia" w:ascii="Times New Roman" w:hAnsi="Times New Roman" w:cs="Times New Roman"/>
                <w:color w:val="auto"/>
                <w:lang w:val="en-US" w:eastAsia="zh-CN"/>
              </w:rPr>
              <w:t>2</w:t>
            </w:r>
            <w:r>
              <w:rPr>
                <w:rFonts w:hint="eastAsia" w:ascii="Times New Roman" w:hAnsi="Times New Roman" w:cs="Times New Roman"/>
                <w:color w:val="auto"/>
              </w:rPr>
              <w:t>年</w:t>
            </w:r>
            <w:r>
              <w:rPr>
                <w:rFonts w:hint="eastAsia" w:ascii="Times New Roman" w:hAnsi="Times New Roman" w:cs="Times New Roman"/>
                <w:color w:val="auto"/>
                <w:lang w:val="en-US" w:eastAsia="zh-CN"/>
              </w:rPr>
              <w:t>5</w:t>
            </w:r>
            <w:r>
              <w:rPr>
                <w:rFonts w:hint="eastAsia" w:ascii="Times New Roman" w:hAnsi="Times New Roman" w:cs="Times New Roman"/>
                <w:color w:val="auto"/>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769" w:type="dxa"/>
            <w:tcBorders>
              <w:top w:val="single" w:color="auto" w:sz="4" w:space="0"/>
              <w:left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环评报告表</w:t>
            </w:r>
          </w:p>
          <w:p>
            <w:pPr>
              <w:jc w:val="center"/>
              <w:rPr>
                <w:rFonts w:ascii="Times New Roman" w:hAnsi="Times New Roman" w:cs="Times New Roman"/>
                <w:color w:val="auto"/>
              </w:rPr>
            </w:pPr>
            <w:r>
              <w:rPr>
                <w:rFonts w:ascii="Times New Roman" w:hAnsi="Times New Roman" w:cs="Times New Roman"/>
                <w:color w:val="auto"/>
              </w:rPr>
              <w:t>审批部门</w:t>
            </w:r>
          </w:p>
        </w:tc>
        <w:tc>
          <w:tcPr>
            <w:tcW w:w="2902" w:type="dxa"/>
            <w:gridSpan w:val="4"/>
            <w:tcBorders>
              <w:top w:val="single" w:color="auto" w:sz="4" w:space="0"/>
              <w:bottom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安庆市生态环境局</w:t>
            </w:r>
          </w:p>
        </w:tc>
        <w:tc>
          <w:tcPr>
            <w:tcW w:w="2174" w:type="dxa"/>
            <w:gridSpan w:val="3"/>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环评报告表</w:t>
            </w:r>
          </w:p>
          <w:p>
            <w:pPr>
              <w:jc w:val="center"/>
              <w:rPr>
                <w:rFonts w:ascii="Times New Roman" w:hAnsi="Times New Roman" w:cs="Times New Roman"/>
                <w:color w:val="auto"/>
              </w:rPr>
            </w:pPr>
            <w:r>
              <w:rPr>
                <w:rFonts w:ascii="Times New Roman" w:hAnsi="Times New Roman" w:cs="Times New Roman"/>
                <w:color w:val="auto"/>
              </w:rPr>
              <w:t>编制单位</w:t>
            </w:r>
          </w:p>
        </w:tc>
        <w:tc>
          <w:tcPr>
            <w:tcW w:w="2919" w:type="dxa"/>
            <w:gridSpan w:val="4"/>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安徽三的环境科技有限公司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69" w:type="dxa"/>
            <w:tcBorders>
              <w:top w:val="single" w:color="auto" w:sz="4" w:space="0"/>
              <w:left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环保设施</w:t>
            </w:r>
          </w:p>
          <w:p>
            <w:pPr>
              <w:jc w:val="center"/>
              <w:rPr>
                <w:rFonts w:ascii="Times New Roman" w:hAnsi="Times New Roman" w:cs="Times New Roman"/>
                <w:color w:val="auto"/>
              </w:rPr>
            </w:pPr>
            <w:r>
              <w:rPr>
                <w:rFonts w:ascii="Times New Roman" w:hAnsi="Times New Roman" w:cs="Times New Roman"/>
                <w:color w:val="auto"/>
              </w:rPr>
              <w:t>设计单位</w:t>
            </w:r>
          </w:p>
        </w:tc>
        <w:tc>
          <w:tcPr>
            <w:tcW w:w="2902" w:type="dxa"/>
            <w:gridSpan w:val="4"/>
            <w:tcBorders>
              <w:top w:val="single" w:color="auto" w:sz="4" w:space="0"/>
              <w:bottom w:val="single" w:color="auto" w:sz="4" w:space="0"/>
            </w:tcBorders>
            <w:vAlign w:val="center"/>
          </w:tcPr>
          <w:p>
            <w:pPr>
              <w:jc w:val="center"/>
              <w:rPr>
                <w:rFonts w:ascii="Times New Roman" w:hAnsi="Times New Roman" w:cs="Times New Roman"/>
                <w:color w:val="auto"/>
              </w:rPr>
            </w:pPr>
            <w:r>
              <w:rPr>
                <w:rFonts w:hint="eastAsia" w:cs="Times New Roman"/>
                <w:color w:val="auto"/>
                <w:sz w:val="21"/>
                <w:szCs w:val="21"/>
                <w:lang w:val="en-US" w:eastAsia="zh-CN"/>
              </w:rPr>
              <w:t>安徽旭红基电离辐射工程有限公司</w:t>
            </w:r>
          </w:p>
        </w:tc>
        <w:tc>
          <w:tcPr>
            <w:tcW w:w="2174" w:type="dxa"/>
            <w:gridSpan w:val="3"/>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环保设施</w:t>
            </w:r>
          </w:p>
          <w:p>
            <w:pPr>
              <w:jc w:val="center"/>
              <w:rPr>
                <w:rFonts w:ascii="Times New Roman" w:hAnsi="Times New Roman" w:cs="Times New Roman"/>
                <w:color w:val="auto"/>
              </w:rPr>
            </w:pPr>
            <w:r>
              <w:rPr>
                <w:rFonts w:ascii="Times New Roman" w:hAnsi="Times New Roman" w:cs="Times New Roman"/>
                <w:color w:val="auto"/>
              </w:rPr>
              <w:t>施工单位</w:t>
            </w:r>
          </w:p>
        </w:tc>
        <w:tc>
          <w:tcPr>
            <w:tcW w:w="2919" w:type="dxa"/>
            <w:gridSpan w:val="4"/>
            <w:tcBorders>
              <w:top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cs="Times New Roman"/>
                <w:color w:val="auto"/>
                <w:sz w:val="21"/>
                <w:szCs w:val="21"/>
                <w:lang w:val="en-US" w:eastAsia="zh-CN"/>
              </w:rPr>
              <w:t>安徽旭红基电离辐射工程有限公司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69" w:type="dxa"/>
            <w:tcBorders>
              <w:top w:val="single" w:color="auto" w:sz="4" w:space="0"/>
              <w:left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投资总概算</w:t>
            </w:r>
          </w:p>
        </w:tc>
        <w:tc>
          <w:tcPr>
            <w:tcW w:w="2902" w:type="dxa"/>
            <w:gridSpan w:val="4"/>
            <w:tcBorders>
              <w:top w:val="single" w:color="auto" w:sz="4" w:space="0"/>
              <w:bottom w:val="single" w:color="auto" w:sz="4" w:space="0"/>
            </w:tcBorders>
            <w:vAlign w:val="center"/>
          </w:tcPr>
          <w:p>
            <w:pPr>
              <w:jc w:val="center"/>
              <w:rPr>
                <w:rFonts w:ascii="Times New Roman" w:hAnsi="Times New Roman" w:cs="Times New Roman"/>
                <w:color w:val="auto"/>
              </w:rPr>
            </w:pPr>
            <w:r>
              <w:rPr>
                <w:rFonts w:hint="default" w:ascii="Times New Roman" w:hAnsi="Times New Roman" w:eastAsia="宋体" w:cs="Times New Roman"/>
                <w:color w:val="auto"/>
                <w:sz w:val="21"/>
                <w:szCs w:val="21"/>
                <w:lang w:val="en-US" w:eastAsia="zh-CN"/>
              </w:rPr>
              <w:t>650</w:t>
            </w:r>
            <w:r>
              <w:rPr>
                <w:rFonts w:ascii="Times New Roman" w:hAnsi="Times New Roman" w:cs="Times New Roman"/>
                <w:color w:val="auto"/>
              </w:rPr>
              <w:t>万元</w:t>
            </w:r>
          </w:p>
        </w:tc>
        <w:tc>
          <w:tcPr>
            <w:tcW w:w="2174" w:type="dxa"/>
            <w:gridSpan w:val="3"/>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环保投资总概算</w:t>
            </w:r>
          </w:p>
        </w:tc>
        <w:tc>
          <w:tcPr>
            <w:tcW w:w="1020" w:type="dxa"/>
            <w:gridSpan w:val="2"/>
            <w:tcBorders>
              <w:top w:val="single" w:color="auto" w:sz="4" w:space="0"/>
              <w:bottom w:val="single" w:color="auto" w:sz="4" w:space="0"/>
            </w:tcBorders>
            <w:vAlign w:val="center"/>
          </w:tcPr>
          <w:p>
            <w:pPr>
              <w:ind w:leftChars="-41" w:right="-50" w:rightChars="-21" w:hanging="98" w:hangingChars="41"/>
              <w:jc w:val="center"/>
              <w:rPr>
                <w:rFonts w:ascii="Times New Roman" w:hAnsi="Times New Roman" w:cs="Times New Roman"/>
                <w:color w:val="auto"/>
              </w:rPr>
            </w:pPr>
            <w:r>
              <w:rPr>
                <w:rFonts w:hint="eastAsia" w:ascii="Times New Roman" w:hAnsi="Times New Roman" w:cs="Times New Roman"/>
                <w:color w:val="auto"/>
                <w:lang w:val="en-US" w:eastAsia="zh-CN"/>
              </w:rPr>
              <w:t>35.7</w:t>
            </w:r>
            <w:r>
              <w:rPr>
                <w:rFonts w:hint="eastAsia" w:ascii="Times New Roman" w:hAnsi="Times New Roman" w:cs="Times New Roman"/>
                <w:color w:val="auto"/>
              </w:rPr>
              <w:t>万元</w:t>
            </w:r>
          </w:p>
        </w:tc>
        <w:tc>
          <w:tcPr>
            <w:tcW w:w="990" w:type="dxa"/>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比例</w:t>
            </w:r>
          </w:p>
        </w:tc>
        <w:tc>
          <w:tcPr>
            <w:tcW w:w="909" w:type="dxa"/>
            <w:tcBorders>
              <w:top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lang w:val="en-US" w:eastAsia="zh-CN"/>
              </w:rPr>
              <w:t>5.52</w:t>
            </w:r>
            <w:r>
              <w:rPr>
                <w:rFonts w:ascii="Times New Roman" w:hAnsi="Times New Roman"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1769" w:type="dxa"/>
            <w:tcBorders>
              <w:top w:val="single" w:color="auto" w:sz="4" w:space="0"/>
              <w:left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实际总概算</w:t>
            </w:r>
          </w:p>
        </w:tc>
        <w:tc>
          <w:tcPr>
            <w:tcW w:w="2902" w:type="dxa"/>
            <w:gridSpan w:val="4"/>
            <w:tcBorders>
              <w:top w:val="single" w:color="auto" w:sz="4" w:space="0"/>
              <w:bottom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lang w:val="en-US" w:eastAsia="zh-CN"/>
              </w:rPr>
              <w:t>650</w:t>
            </w:r>
            <w:r>
              <w:rPr>
                <w:rFonts w:hint="eastAsia" w:ascii="Times New Roman" w:hAnsi="Times New Roman" w:cs="Times New Roman"/>
                <w:color w:val="auto"/>
              </w:rPr>
              <w:t>万元</w:t>
            </w:r>
          </w:p>
        </w:tc>
        <w:tc>
          <w:tcPr>
            <w:tcW w:w="2174" w:type="dxa"/>
            <w:gridSpan w:val="3"/>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环保投资</w:t>
            </w:r>
          </w:p>
        </w:tc>
        <w:tc>
          <w:tcPr>
            <w:tcW w:w="1020" w:type="dxa"/>
            <w:gridSpan w:val="2"/>
            <w:tcBorders>
              <w:top w:val="single" w:color="auto" w:sz="4" w:space="0"/>
              <w:bottom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lang w:val="en-US" w:eastAsia="zh-CN"/>
              </w:rPr>
              <w:t>36.6</w:t>
            </w:r>
            <w:r>
              <w:rPr>
                <w:rFonts w:hint="eastAsia" w:ascii="Times New Roman" w:hAnsi="Times New Roman" w:cs="Times New Roman"/>
                <w:color w:val="auto"/>
              </w:rPr>
              <w:t>万元</w:t>
            </w:r>
          </w:p>
        </w:tc>
        <w:tc>
          <w:tcPr>
            <w:tcW w:w="990" w:type="dxa"/>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比例</w:t>
            </w:r>
          </w:p>
        </w:tc>
        <w:tc>
          <w:tcPr>
            <w:tcW w:w="909" w:type="dxa"/>
            <w:tcBorders>
              <w:top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lang w:val="en-US" w:eastAsia="zh-CN"/>
              </w:rPr>
              <w:t>5.6</w:t>
            </w:r>
            <w:r>
              <w:rPr>
                <w:rFonts w:ascii="Times New Roman" w:hAnsi="Times New Roman"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1769" w:type="dxa"/>
            <w:vMerge w:val="restart"/>
            <w:tcBorders>
              <w:top w:val="single" w:color="auto" w:sz="4" w:space="0"/>
              <w:left w:val="single" w:color="auto" w:sz="4" w:space="0"/>
              <w:bottom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应用</w:t>
            </w:r>
            <w:r>
              <w:rPr>
                <w:rFonts w:ascii="Times New Roman" w:hAnsi="Times New Roman" w:cs="Times New Roman"/>
                <w:color w:val="auto"/>
              </w:rPr>
              <w:t>类型</w:t>
            </w:r>
          </w:p>
        </w:tc>
        <w:tc>
          <w:tcPr>
            <w:tcW w:w="1938" w:type="dxa"/>
            <w:gridSpan w:val="2"/>
            <w:tcBorders>
              <w:top w:val="single" w:color="auto" w:sz="4" w:space="0"/>
              <w:bottom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放射性</w:t>
            </w:r>
            <w:r>
              <w:rPr>
                <w:rFonts w:ascii="Times New Roman" w:hAnsi="Times New Roman" w:cs="Times New Roman"/>
                <w:color w:val="auto"/>
              </w:rPr>
              <w:t>同位素</w:t>
            </w:r>
          </w:p>
          <w:p>
            <w:pPr>
              <w:jc w:val="center"/>
              <w:rPr>
                <w:rFonts w:ascii="Times New Roman" w:hAnsi="Times New Roman" w:cs="Times New Roman"/>
                <w:color w:val="auto"/>
              </w:rPr>
            </w:pPr>
            <w:r>
              <w:rPr>
                <w:rFonts w:ascii="Times New Roman" w:hAnsi="Times New Roman" w:cs="Times New Roman"/>
                <w:color w:val="auto"/>
              </w:rPr>
              <w:t>应</w:t>
            </w:r>
            <w:r>
              <w:rPr>
                <w:rFonts w:hint="eastAsia" w:ascii="Times New Roman" w:hAnsi="Times New Roman" w:cs="Times New Roman"/>
                <w:color w:val="auto"/>
              </w:rPr>
              <w:t xml:space="preserve">        </w:t>
            </w:r>
            <w:r>
              <w:rPr>
                <w:rFonts w:ascii="Times New Roman" w:hAnsi="Times New Roman" w:cs="Times New Roman"/>
                <w:color w:val="auto"/>
              </w:rPr>
              <w:t>用</w:t>
            </w:r>
          </w:p>
        </w:tc>
        <w:tc>
          <w:tcPr>
            <w:tcW w:w="2122" w:type="dxa"/>
            <w:gridSpan w:val="3"/>
            <w:tcBorders>
              <w:top w:val="single" w:color="auto" w:sz="4" w:space="0"/>
              <w:bottom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密封源</w:t>
            </w:r>
          </w:p>
        </w:tc>
        <w:tc>
          <w:tcPr>
            <w:tcW w:w="2036" w:type="dxa"/>
            <w:gridSpan w:val="4"/>
            <w:tcBorders>
              <w:top w:val="single" w:color="auto" w:sz="4" w:space="0"/>
              <w:bottom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射线</w:t>
            </w:r>
            <w:r>
              <w:rPr>
                <w:rFonts w:ascii="Times New Roman" w:hAnsi="Times New Roman" w:cs="Times New Roman"/>
                <w:color w:val="auto"/>
              </w:rPr>
              <w:t>装置</w:t>
            </w:r>
          </w:p>
        </w:tc>
        <w:tc>
          <w:tcPr>
            <w:tcW w:w="1899" w:type="dxa"/>
            <w:gridSpan w:val="2"/>
            <w:tcBorders>
              <w:top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1769" w:type="dxa"/>
            <w:vMerge w:val="continue"/>
            <w:tcBorders>
              <w:top w:val="single" w:color="auto" w:sz="4" w:space="0"/>
              <w:left w:val="single" w:color="auto" w:sz="4" w:space="0"/>
              <w:bottom w:val="single" w:color="auto" w:sz="4" w:space="0"/>
            </w:tcBorders>
            <w:vAlign w:val="center"/>
          </w:tcPr>
          <w:p>
            <w:pPr>
              <w:jc w:val="center"/>
              <w:rPr>
                <w:rFonts w:ascii="Times New Roman" w:hAnsi="Times New Roman" w:cs="Times New Roman"/>
                <w:color w:val="auto"/>
              </w:rPr>
            </w:pPr>
          </w:p>
        </w:tc>
        <w:tc>
          <w:tcPr>
            <w:tcW w:w="1938" w:type="dxa"/>
            <w:gridSpan w:val="2"/>
            <w:tcBorders>
              <w:top w:val="single" w:color="auto" w:sz="4" w:space="0"/>
              <w:bottom w:val="single" w:color="auto" w:sz="4" w:space="0"/>
            </w:tcBorders>
            <w:vAlign w:val="center"/>
          </w:tcPr>
          <w:p>
            <w:pPr>
              <w:jc w:val="center"/>
              <w:rPr>
                <w:rFonts w:ascii="Times New Roman" w:hAnsi="Times New Roman" w:cs="Times New Roman"/>
                <w:color w:val="auto"/>
              </w:rPr>
            </w:pPr>
          </w:p>
        </w:tc>
        <w:tc>
          <w:tcPr>
            <w:tcW w:w="2122" w:type="dxa"/>
            <w:gridSpan w:val="3"/>
            <w:tcBorders>
              <w:top w:val="single" w:color="auto" w:sz="4" w:space="0"/>
              <w:bottom w:val="single" w:color="auto" w:sz="4" w:space="0"/>
            </w:tcBorders>
            <w:vAlign w:val="center"/>
          </w:tcPr>
          <w:p>
            <w:pPr>
              <w:jc w:val="center"/>
              <w:rPr>
                <w:rFonts w:ascii="Times New Roman" w:hAnsi="Times New Roman" w:cs="Times New Roman"/>
                <w:color w:val="auto"/>
              </w:rPr>
            </w:pPr>
          </w:p>
        </w:tc>
        <w:tc>
          <w:tcPr>
            <w:tcW w:w="2036" w:type="dxa"/>
            <w:gridSpan w:val="4"/>
            <w:tcBorders>
              <w:top w:val="single" w:color="auto" w:sz="4" w:space="0"/>
              <w:bottom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w:t>
            </w:r>
          </w:p>
        </w:tc>
        <w:tc>
          <w:tcPr>
            <w:tcW w:w="1899" w:type="dxa"/>
            <w:gridSpan w:val="2"/>
            <w:tcBorders>
              <w:top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54" w:hRule="atLeast"/>
          <w:jc w:val="center"/>
        </w:trPr>
        <w:tc>
          <w:tcPr>
            <w:tcW w:w="176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color w:val="auto"/>
              </w:rPr>
            </w:pPr>
            <w:r>
              <w:rPr>
                <w:rFonts w:ascii="Times New Roman" w:hAnsi="Times New Roman" w:cs="Times New Roman"/>
                <w:color w:val="auto"/>
              </w:rPr>
              <w:t>验收监测依据</w:t>
            </w:r>
          </w:p>
        </w:tc>
        <w:tc>
          <w:tcPr>
            <w:tcW w:w="7995" w:type="dxa"/>
            <w:gridSpan w:val="11"/>
            <w:tcBorders>
              <w:top w:val="single" w:color="auto" w:sz="4" w:space="0"/>
              <w:left w:val="single" w:color="auto" w:sz="4" w:space="0"/>
              <w:bottom w:val="single" w:color="auto" w:sz="4" w:space="0"/>
              <w:right w:val="single" w:color="auto" w:sz="4" w:space="0"/>
            </w:tcBorders>
            <w:vAlign w:val="center"/>
          </w:tcPr>
          <w:p>
            <w:pPr>
              <w:pStyle w:val="28"/>
              <w:spacing w:before="60" w:line="360" w:lineRule="auto"/>
              <w:jc w:val="both"/>
              <w:rPr>
                <w:rFonts w:ascii="Times New Roman" w:hAnsi="Times New Roman"/>
                <w:color w:val="auto"/>
                <w:sz w:val="24"/>
                <w:szCs w:val="24"/>
              </w:rPr>
            </w:pPr>
            <w:bookmarkStart w:id="5" w:name="_Toc61439291"/>
            <w:r>
              <w:rPr>
                <w:rFonts w:ascii="Times New Roman" w:hAnsi="Times New Roman"/>
                <w:color w:val="auto"/>
                <w:sz w:val="24"/>
                <w:szCs w:val="24"/>
              </w:rPr>
              <w:t>1</w:t>
            </w:r>
            <w:r>
              <w:rPr>
                <w:rFonts w:hint="eastAsia" w:ascii="Times New Roman" w:hAnsi="Times New Roman"/>
                <w:color w:val="auto"/>
                <w:sz w:val="24"/>
                <w:szCs w:val="24"/>
              </w:rPr>
              <w:t xml:space="preserve">  </w:t>
            </w:r>
            <w:r>
              <w:rPr>
                <w:rFonts w:ascii="Times New Roman" w:hAnsi="Times New Roman"/>
                <w:color w:val="auto"/>
                <w:sz w:val="24"/>
                <w:szCs w:val="24"/>
              </w:rPr>
              <w:t>法律法规</w:t>
            </w:r>
            <w:bookmarkEnd w:id="5"/>
          </w:p>
          <w:p>
            <w:pPr>
              <w:spacing w:line="360" w:lineRule="auto"/>
              <w:ind w:firstLine="240" w:firstLineChars="10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1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⑴</w:t>
            </w:r>
            <w:r>
              <w:rPr>
                <w:rFonts w:ascii="Times New Roman" w:hAnsi="Times New Roman" w:cs="Times New Roman"/>
                <w:color w:val="auto"/>
              </w:rPr>
              <w:fldChar w:fldCharType="end"/>
            </w:r>
            <w:r>
              <w:rPr>
                <w:rFonts w:ascii="Times New Roman" w:hAnsi="Times New Roman" w:cs="Times New Roman"/>
                <w:color w:val="auto"/>
              </w:rPr>
              <w:t>《中华人民共和国环境保护法》，2015年1月1日</w:t>
            </w:r>
            <w:r>
              <w:rPr>
                <w:rFonts w:hint="eastAsia" w:ascii="Times New Roman" w:hAnsi="Times New Roman" w:cs="Times New Roman"/>
                <w:color w:val="auto"/>
              </w:rPr>
              <w:t>起施行</w:t>
            </w:r>
            <w:r>
              <w:rPr>
                <w:rFonts w:ascii="Times New Roman" w:hAnsi="Times New Roman" w:cs="Times New Roman"/>
                <w:color w:val="auto"/>
              </w:rPr>
              <w:t>；</w:t>
            </w:r>
          </w:p>
          <w:p>
            <w:pPr>
              <w:spacing w:line="360" w:lineRule="auto"/>
              <w:ind w:firstLine="240" w:firstLineChars="10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2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⑵</w:t>
            </w:r>
            <w:r>
              <w:rPr>
                <w:rFonts w:ascii="Times New Roman" w:hAnsi="Times New Roman" w:cs="Times New Roman"/>
                <w:color w:val="auto"/>
              </w:rPr>
              <w:fldChar w:fldCharType="end"/>
            </w:r>
            <w:r>
              <w:rPr>
                <w:rFonts w:ascii="Times New Roman" w:hAnsi="Times New Roman" w:cs="Times New Roman"/>
                <w:color w:val="auto"/>
              </w:rPr>
              <w:t>《中华人民共和国环境影响评价法》2016年9月1日起施行；2018年12月29日修订；</w:t>
            </w:r>
          </w:p>
          <w:p>
            <w:pPr>
              <w:spacing w:line="360" w:lineRule="auto"/>
              <w:ind w:firstLine="240" w:firstLineChars="10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3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⑶</w:t>
            </w:r>
            <w:r>
              <w:rPr>
                <w:rFonts w:ascii="Times New Roman" w:hAnsi="Times New Roman" w:cs="Times New Roman"/>
                <w:color w:val="auto"/>
              </w:rPr>
              <w:fldChar w:fldCharType="end"/>
            </w:r>
            <w:r>
              <w:rPr>
                <w:rFonts w:ascii="Times New Roman" w:hAnsi="Times New Roman" w:cs="Times New Roman"/>
                <w:color w:val="auto"/>
              </w:rPr>
              <w:t>《中华人民共和国放射性污染防治法》，2003年10月1日</w:t>
            </w:r>
            <w:r>
              <w:rPr>
                <w:rFonts w:hint="eastAsia" w:ascii="Times New Roman" w:hAnsi="Times New Roman" w:cs="Times New Roman"/>
                <w:color w:val="auto"/>
              </w:rPr>
              <w:t>起</w:t>
            </w:r>
            <w:r>
              <w:rPr>
                <w:rFonts w:ascii="Times New Roman" w:hAnsi="Times New Roman" w:cs="Times New Roman"/>
                <w:color w:val="auto"/>
              </w:rPr>
              <w:t>施行；</w:t>
            </w:r>
          </w:p>
          <w:p>
            <w:pPr>
              <w:spacing w:line="360" w:lineRule="auto"/>
              <w:ind w:firstLine="240" w:firstLineChars="10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 4 \* GB2 </w:instrText>
            </w:r>
            <w:r>
              <w:rPr>
                <w:rFonts w:ascii="Times New Roman" w:hAnsi="Times New Roman" w:cs="Times New Roman"/>
                <w:color w:val="auto"/>
              </w:rPr>
              <w:fldChar w:fldCharType="separate"/>
            </w:r>
            <w:r>
              <w:rPr>
                <w:rFonts w:ascii="Times New Roman" w:cs="Times New Roman"/>
                <w:color w:val="auto"/>
              </w:rPr>
              <w:t>⑷</w:t>
            </w:r>
            <w:r>
              <w:rPr>
                <w:rFonts w:ascii="Times New Roman" w:hAnsi="Times New Roman" w:cs="Times New Roman"/>
                <w:color w:val="auto"/>
              </w:rPr>
              <w:fldChar w:fldCharType="end"/>
            </w:r>
            <w:r>
              <w:rPr>
                <w:rFonts w:ascii="Times New Roman" w:hAnsi="Times New Roman" w:cs="Times New Roman"/>
                <w:color w:val="auto"/>
              </w:rPr>
              <w:t>《放射性同位素与射线装置安全和防护条例》（国务院第449号令）</w:t>
            </w:r>
            <w:r>
              <w:rPr>
                <w:rFonts w:hint="eastAsia" w:ascii="Times New Roman" w:hAnsi="Times New Roman" w:cs="Times New Roman"/>
                <w:color w:val="auto"/>
              </w:rPr>
              <w:t>，</w:t>
            </w:r>
            <w:r>
              <w:rPr>
                <w:rFonts w:ascii="Times New Roman" w:hAnsi="Times New Roman"/>
                <w:color w:val="auto"/>
              </w:rPr>
              <w:t>2014年7月29日修订；2019年3月2日，国务院第709号令</w:t>
            </w:r>
            <w:r>
              <w:rPr>
                <w:rFonts w:ascii="Times New Roman" w:hAnsi="Times New Roman"/>
                <w:bCs/>
                <w:color w:val="auto"/>
              </w:rPr>
              <w:t>修正</w:t>
            </w:r>
            <w:r>
              <w:rPr>
                <w:rFonts w:ascii="Times New Roman" w:hAnsi="Times New Roman" w:cs="Times New Roman"/>
                <w:color w:val="auto"/>
              </w:rPr>
              <w:t>；</w:t>
            </w:r>
          </w:p>
        </w:tc>
      </w:tr>
    </w:tbl>
    <w:p>
      <w:pPr>
        <w:rPr>
          <w:color w:val="auto"/>
          <w:sz w:val="12"/>
          <w:szCs w:val="12"/>
        </w:rPr>
      </w:pPr>
    </w:p>
    <w:tbl>
      <w:tblPr>
        <w:tblStyle w:val="38"/>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7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29" w:hRule="atLeast"/>
          <w:jc w:val="center"/>
        </w:trPr>
        <w:tc>
          <w:tcPr>
            <w:tcW w:w="1770" w:type="dxa"/>
            <w:vAlign w:val="center"/>
          </w:tcPr>
          <w:p>
            <w:pPr>
              <w:jc w:val="center"/>
              <w:rPr>
                <w:rFonts w:ascii="Times New Roman" w:hAnsi="Times New Roman" w:cs="Times New Roman"/>
                <w:color w:val="auto"/>
              </w:rPr>
            </w:pPr>
            <w:r>
              <w:rPr>
                <w:rFonts w:ascii="Times New Roman" w:hAnsi="Times New Roman" w:cs="Times New Roman"/>
                <w:color w:val="auto"/>
              </w:rPr>
              <w:t>验收监测依据</w:t>
            </w:r>
          </w:p>
        </w:tc>
        <w:tc>
          <w:tcPr>
            <w:tcW w:w="7814" w:type="dxa"/>
            <w:vAlign w:val="center"/>
          </w:tcPr>
          <w:p>
            <w:pPr>
              <w:spacing w:line="312" w:lineRule="auto"/>
              <w:ind w:firstLine="240" w:firstLineChars="10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5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⑸</w:t>
            </w:r>
            <w:r>
              <w:rPr>
                <w:rFonts w:ascii="Times New Roman" w:hAnsi="Times New Roman" w:cs="Times New Roman"/>
                <w:color w:val="auto"/>
              </w:rPr>
              <w:fldChar w:fldCharType="end"/>
            </w:r>
            <w:r>
              <w:rPr>
                <w:rFonts w:hint="eastAsia" w:ascii="Times New Roman" w:hAnsi="Times New Roman" w:cs="Times New Roman"/>
                <w:color w:val="auto"/>
              </w:rPr>
              <w:t>《建设项目环境保护管理条例》（</w:t>
            </w:r>
            <w:r>
              <w:rPr>
                <w:rFonts w:ascii="Times New Roman" w:hAnsi="Times New Roman" w:cs="Times New Roman"/>
                <w:color w:val="auto"/>
              </w:rPr>
              <w:t>2017年修正版），国务院令第682号，2017年10月1日发布实施；</w:t>
            </w:r>
          </w:p>
          <w:p>
            <w:pPr>
              <w:spacing w:line="312" w:lineRule="auto"/>
              <w:ind w:firstLine="240" w:firstLineChars="1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 6 \* GB2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⑹</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t>《放射性同位素与射线装置安全许可管理办法》，（2017年修正版）环保部令第47号，2017年12月20日施行；</w:t>
            </w:r>
          </w:p>
          <w:p>
            <w:pPr>
              <w:spacing w:line="312" w:lineRule="auto"/>
              <w:ind w:firstLine="240" w:firstLineChars="1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 7 \* GB2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⑺</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t>《放射性同位素与射线装置安全和防护管理办法》，中华人民共和国环境保护部第18号令，2011年5月1日起施行；</w:t>
            </w:r>
          </w:p>
          <w:p>
            <w:pPr>
              <w:spacing w:line="312" w:lineRule="auto"/>
              <w:ind w:firstLine="240" w:firstLineChars="1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⑻关于发布《建设项目竣工环境保护验收暂行办法》的公告，环境保护部国环规环评〔2017〕4号，2017年11月20日起施行；《关于发布射线装置分类办法的公告》（国家环境保护总局公告2017年第66号，2017年12月5日）。</w:t>
            </w:r>
          </w:p>
          <w:p>
            <w:pPr>
              <w:spacing w:line="312" w:lineRule="auto"/>
              <w:ind w:firstLine="240" w:firstLineChars="1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 9 \* GB2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⑼</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t>关于发布《射线装置分类》的公告，环境保护部、国家卫生和计划生育委员会，公告2017年第66号，2017年12月6日起实施；</w:t>
            </w:r>
          </w:p>
          <w:p>
            <w:pPr>
              <w:spacing w:line="312" w:lineRule="auto"/>
              <w:ind w:firstLine="240" w:firstLineChars="1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 10 \* GB2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⑽</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t>《关于建立放射性同位素与射线装置事故分级处理报告制度的通知》，原国家环保总局，环发〔2006〕145号；</w:t>
            </w:r>
          </w:p>
          <w:p>
            <w:pPr>
              <w:spacing w:line="312" w:lineRule="auto"/>
              <w:ind w:firstLine="240" w:firstLineChars="1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 11 \* GB2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⑾</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t>《放射工作人员职业健康管理办法》，中华人民共和国卫生部令第55号，2007年3月23日经卫生部部务会议讨论通过，自2007年11月1日起施行；</w:t>
            </w:r>
          </w:p>
          <w:p>
            <w:pPr>
              <w:spacing w:line="312" w:lineRule="auto"/>
              <w:ind w:firstLine="240" w:firstLineChars="1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 12 \* GB2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⑿</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t>《安徽省放射性同位素与射线装置安全和许可管理办法》安徽省环保厅2014年10月30日颁发；</w:t>
            </w:r>
          </w:p>
          <w:p>
            <w:pPr>
              <w:spacing w:line="312" w:lineRule="auto"/>
              <w:ind w:firstLine="240" w:firstLineChars="1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 13 \* GB2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⒀</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t>关于发布《建设项目竣工环境保护验收技术指南 污染影响类》的公告，生态环境部公告2018年第9号。</w:t>
            </w:r>
          </w:p>
          <w:p>
            <w:pPr>
              <w:spacing w:line="360" w:lineRule="auto"/>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《中华人民共和国大气污染防治法》（国家主席令第31号，2016年01月01日施行）</w:t>
            </w:r>
            <w:r>
              <w:rPr>
                <w:rFonts w:hint="eastAsia" w:ascii="宋体" w:hAnsi="宋体" w:eastAsia="宋体" w:cs="宋体"/>
                <w:color w:val="auto"/>
                <w:sz w:val="24"/>
                <w:szCs w:val="24"/>
                <w:lang w:eastAsia="zh-CN"/>
              </w:rPr>
              <w:t>；</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《中华人民共和国水污染防治法》（国家主席令第87号，20</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8年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日施行）；</w:t>
            </w:r>
          </w:p>
          <w:p>
            <w:pPr>
              <w:spacing w:line="360" w:lineRule="auto"/>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《中华人民共和国环境噪声污染防治法》（第十三届全国人民代表大会常务委员会第七次会议通过，2018年12月29日施行）</w:t>
            </w:r>
            <w:r>
              <w:rPr>
                <w:rFonts w:hint="eastAsia" w:ascii="宋体" w:hAnsi="宋体" w:eastAsia="宋体" w:cs="宋体"/>
                <w:color w:val="auto"/>
                <w:sz w:val="24"/>
                <w:szCs w:val="24"/>
                <w:lang w:eastAsia="zh-CN"/>
              </w:rPr>
              <w:t>；</w:t>
            </w:r>
          </w:p>
          <w:p>
            <w:pPr>
              <w:pStyle w:val="14"/>
              <w:spacing w:line="360" w:lineRule="auto"/>
              <w:ind w:firstLine="240" w:firstLineChars="10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eastAsia="zh-CN"/>
              </w:rPr>
              <w:t>（</w:t>
            </w:r>
            <w:r>
              <w:rPr>
                <w:rFonts w:hint="eastAsia" w:ascii="宋体" w:hAnsi="宋体" w:eastAsia="宋体" w:cs="宋体"/>
                <w:color w:val="auto"/>
                <w:kern w:val="0"/>
                <w:sz w:val="24"/>
                <w:szCs w:val="24"/>
                <w:lang w:val="en-US" w:eastAsia="zh-CN" w:bidi="ar-SA"/>
              </w:rPr>
              <w:t>17）《中华人民共和国固体废物污染环境防治法》</w:t>
            </w:r>
            <w:r>
              <w:rPr>
                <w:rFonts w:hint="eastAsia" w:ascii="宋体" w:hAnsi="宋体" w:eastAsia="宋体" w:cs="宋体"/>
                <w:color w:val="auto"/>
                <w:kern w:val="0"/>
                <w:sz w:val="24"/>
                <w:szCs w:val="24"/>
                <w:lang w:val="zh-CN" w:eastAsia="zh-CN" w:bidi="ar-SA"/>
              </w:rPr>
              <w:t>（</w:t>
            </w:r>
            <w:r>
              <w:rPr>
                <w:rFonts w:hint="eastAsia" w:ascii="宋体" w:hAnsi="宋体" w:eastAsia="宋体" w:cs="宋体"/>
                <w:color w:val="auto"/>
                <w:kern w:val="0"/>
                <w:sz w:val="24"/>
                <w:szCs w:val="24"/>
                <w:lang w:val="en-US" w:eastAsia="zh-CN" w:bidi="ar-SA"/>
              </w:rPr>
              <w:t>2021年版）</w:t>
            </w:r>
            <w:r>
              <w:rPr>
                <w:rFonts w:hint="eastAsia" w:ascii="宋体" w:hAnsi="宋体" w:eastAsia="宋体" w:cs="宋体"/>
                <w:color w:val="auto"/>
                <w:kern w:val="0"/>
                <w:sz w:val="24"/>
                <w:szCs w:val="24"/>
                <w:lang w:val="zh-CN" w:eastAsia="zh-CN" w:bidi="ar-SA"/>
              </w:rPr>
              <w:t>，（生态环境部令第</w:t>
            </w:r>
            <w:r>
              <w:rPr>
                <w:rFonts w:hint="eastAsia" w:ascii="宋体" w:hAnsi="宋体" w:eastAsia="宋体" w:cs="宋体"/>
                <w:color w:val="auto"/>
                <w:kern w:val="0"/>
                <w:sz w:val="24"/>
                <w:szCs w:val="24"/>
                <w:lang w:val="en-US" w:eastAsia="zh-CN" w:bidi="ar-SA"/>
              </w:rPr>
              <w:t>15</w:t>
            </w:r>
            <w:r>
              <w:rPr>
                <w:rFonts w:hint="eastAsia" w:ascii="宋体" w:hAnsi="宋体" w:eastAsia="宋体" w:cs="宋体"/>
                <w:color w:val="auto"/>
                <w:kern w:val="0"/>
                <w:sz w:val="24"/>
                <w:szCs w:val="24"/>
                <w:lang w:val="zh-CN" w:eastAsia="zh-CN" w:bidi="ar-SA"/>
              </w:rPr>
              <w:t>号，</w:t>
            </w:r>
            <w:r>
              <w:rPr>
                <w:rFonts w:hint="eastAsia" w:ascii="宋体" w:hAnsi="宋体" w:eastAsia="宋体" w:cs="宋体"/>
                <w:color w:val="auto"/>
                <w:kern w:val="0"/>
                <w:sz w:val="24"/>
                <w:szCs w:val="24"/>
                <w:lang w:val="en-US" w:eastAsia="zh-CN" w:bidi="ar-SA"/>
              </w:rPr>
              <w:t>2021</w:t>
            </w:r>
            <w:r>
              <w:rPr>
                <w:rFonts w:hint="eastAsia" w:ascii="宋体" w:hAnsi="宋体" w:eastAsia="宋体" w:cs="宋体"/>
                <w:color w:val="auto"/>
                <w:kern w:val="0"/>
                <w:sz w:val="24"/>
                <w:szCs w:val="24"/>
                <w:lang w:val="zh-CN" w:eastAsia="zh-CN" w:bidi="ar-SA"/>
              </w:rPr>
              <w:t>年</w:t>
            </w:r>
            <w:r>
              <w:rPr>
                <w:rFonts w:hint="eastAsia"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lang w:val="zh-CN" w:eastAsia="zh-CN" w:bidi="ar-SA"/>
              </w:rPr>
              <w:t>月1日施</w:t>
            </w:r>
            <w:r>
              <w:rPr>
                <w:rFonts w:hint="eastAsia" w:ascii="宋体" w:hAnsi="宋体" w:eastAsia="宋体" w:cs="宋体"/>
                <w:color w:val="auto"/>
                <w:kern w:val="0"/>
                <w:sz w:val="24"/>
                <w:szCs w:val="24"/>
                <w:lang w:val="en-US" w:eastAsia="zh-CN" w:bidi="ar-SA"/>
              </w:rPr>
              <w:t>行</w:t>
            </w:r>
            <w:r>
              <w:rPr>
                <w:rFonts w:hint="eastAsia" w:ascii="宋体" w:hAnsi="宋体" w:eastAsia="宋体" w:cs="宋体"/>
                <w:color w:val="auto"/>
                <w:kern w:val="0"/>
                <w:sz w:val="24"/>
                <w:szCs w:val="24"/>
                <w:lang w:val="zh-CN" w:eastAsia="zh-CN" w:bidi="ar-SA"/>
              </w:rPr>
              <w:t>）。</w:t>
            </w:r>
          </w:p>
          <w:p>
            <w:pPr>
              <w:pStyle w:val="28"/>
              <w:spacing w:before="60"/>
              <w:jc w:val="both"/>
              <w:rPr>
                <w:rFonts w:ascii="Times New Roman" w:hAnsi="Times New Roman"/>
                <w:color w:val="auto"/>
                <w:sz w:val="24"/>
                <w:szCs w:val="24"/>
              </w:rPr>
            </w:pPr>
            <w:bookmarkStart w:id="6" w:name="_Toc61439292"/>
            <w:r>
              <w:rPr>
                <w:rFonts w:hint="eastAsia" w:ascii="Times New Roman" w:hAnsi="Times New Roman"/>
                <w:color w:val="auto"/>
                <w:sz w:val="24"/>
                <w:szCs w:val="24"/>
              </w:rPr>
              <w:t>2  技术规程规范</w:t>
            </w:r>
            <w:bookmarkEnd w:id="6"/>
          </w:p>
          <w:p>
            <w:pPr>
              <w:spacing w:line="312" w:lineRule="auto"/>
              <w:ind w:firstLine="240" w:firstLineChars="10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1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⑴</w:t>
            </w:r>
            <w:r>
              <w:rPr>
                <w:rFonts w:ascii="Times New Roman" w:hAnsi="Times New Roman" w:cs="Times New Roman"/>
                <w:color w:val="auto"/>
              </w:rPr>
              <w:fldChar w:fldCharType="end"/>
            </w:r>
            <w:r>
              <w:rPr>
                <w:rFonts w:hint="eastAsia" w:ascii="Times New Roman" w:hAnsi="Times New Roman" w:cs="Times New Roman"/>
                <w:color w:val="auto"/>
              </w:rPr>
              <w:t>《辐射环境监测技术规范》（HJ</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rPr>
              <w:t>61-20</w:t>
            </w:r>
            <w:r>
              <w:rPr>
                <w:rFonts w:hint="eastAsia" w:ascii="Times New Roman" w:hAnsi="Times New Roman" w:cs="Times New Roman"/>
                <w:color w:val="auto"/>
                <w:lang w:val="en-US" w:eastAsia="zh-CN"/>
              </w:rPr>
              <w:t>21</w:t>
            </w:r>
            <w:r>
              <w:rPr>
                <w:rFonts w:hint="eastAsia" w:ascii="Times New Roman" w:hAnsi="Times New Roman" w:cs="Times New Roman"/>
                <w:color w:val="auto"/>
              </w:rPr>
              <w:t>）；</w:t>
            </w:r>
          </w:p>
          <w:p>
            <w:pPr>
              <w:spacing w:line="312" w:lineRule="auto"/>
              <w:ind w:firstLine="240" w:firstLineChars="10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2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⑵</w:t>
            </w:r>
            <w:r>
              <w:rPr>
                <w:rFonts w:ascii="Times New Roman" w:hAnsi="Times New Roman" w:cs="Times New Roman"/>
                <w:color w:val="auto"/>
              </w:rPr>
              <w:fldChar w:fldCharType="end"/>
            </w:r>
            <w:r>
              <w:rPr>
                <w:rFonts w:hint="eastAsia" w:ascii="Times New Roman" w:hAnsi="Times New Roman" w:cs="Times New Roman"/>
                <w:color w:val="auto"/>
              </w:rPr>
              <w:t>《环境γ辐射剂量率测量技术规范》（HJ 1157-2021）；</w:t>
            </w:r>
          </w:p>
          <w:p>
            <w:pPr>
              <w:spacing w:line="312" w:lineRule="auto"/>
              <w:ind w:firstLine="240" w:firstLineChars="100"/>
              <w:jc w:val="both"/>
              <w:rPr>
                <w:rFonts w:hint="eastAsia" w:ascii="Times New Roman" w:hAnsi="Times New Roman" w:eastAsia="宋体" w:cs="Times New Roman"/>
                <w:color w:val="auto"/>
                <w:lang w:eastAsia="zh-CN"/>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3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⑶</w:t>
            </w:r>
            <w:r>
              <w:rPr>
                <w:rFonts w:ascii="Times New Roman" w:hAnsi="Times New Roman" w:cs="Times New Roman"/>
                <w:color w:val="auto"/>
              </w:rPr>
              <w:fldChar w:fldCharType="end"/>
            </w:r>
            <w:r>
              <w:rPr>
                <w:rFonts w:ascii="Times New Roman" w:hAnsi="Times New Roman" w:cs="Times New Roman"/>
                <w:color w:val="auto"/>
              </w:rPr>
              <w:t>《放射诊断放射防护要求》（GBZ 130-2020）</w:t>
            </w:r>
            <w:r>
              <w:rPr>
                <w:rFonts w:hint="eastAsia" w:ascii="Times New Roman" w:hAnsi="Times New Roman" w:cs="Times New Roman"/>
                <w:color w:val="auto"/>
                <w:lang w:eastAsia="zh-CN"/>
              </w:rPr>
              <w:t>。</w:t>
            </w:r>
          </w:p>
          <w:p>
            <w:pPr>
              <w:pStyle w:val="28"/>
              <w:spacing w:before="60"/>
              <w:jc w:val="both"/>
              <w:rPr>
                <w:rFonts w:ascii="Times New Roman" w:hAnsi="Times New Roman"/>
                <w:color w:val="auto"/>
                <w:sz w:val="24"/>
                <w:szCs w:val="24"/>
              </w:rPr>
            </w:pPr>
            <w:bookmarkStart w:id="7" w:name="_Toc61439293"/>
            <w:r>
              <w:rPr>
                <w:rFonts w:hint="eastAsia" w:ascii="Times New Roman" w:hAnsi="Times New Roman"/>
                <w:color w:val="auto"/>
                <w:sz w:val="24"/>
                <w:szCs w:val="24"/>
              </w:rPr>
              <w:t>3  其他</w:t>
            </w:r>
            <w:bookmarkEnd w:id="7"/>
          </w:p>
          <w:p>
            <w:pPr>
              <w:spacing w:line="312" w:lineRule="auto"/>
              <w:ind w:firstLine="240" w:firstLineChars="100"/>
              <w:jc w:val="both"/>
              <w:rPr>
                <w:rFonts w:hint="eastAsia" w:ascii="Times New Roman" w:hAnsi="Times New Roman" w:eastAsia="宋体" w:cs="Times New Roman"/>
                <w:color w:val="auto"/>
                <w:lang w:eastAsia="zh-CN"/>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1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⑴</w:t>
            </w:r>
            <w:r>
              <w:rPr>
                <w:rFonts w:ascii="Times New Roman" w:hAnsi="Times New Roman" w:cs="Times New Roman"/>
                <w:color w:val="auto"/>
              </w:rPr>
              <w:fldChar w:fldCharType="end"/>
            </w:r>
            <w:r>
              <w:rPr>
                <w:rFonts w:ascii="Times New Roman" w:hAnsi="Times New Roman" w:cs="Times New Roman"/>
                <w:color w:val="auto"/>
              </w:rPr>
              <w:t xml:space="preserve"> </w:t>
            </w:r>
            <w:r>
              <w:rPr>
                <w:rFonts w:hint="eastAsia" w:ascii="Times New Roman" w:hAnsi="Times New Roman" w:cs="Times New Roman"/>
                <w:color w:val="auto"/>
              </w:rPr>
              <w:t>安庆市</w:t>
            </w:r>
            <w:r>
              <w:rPr>
                <w:rFonts w:hint="eastAsia" w:ascii="Times New Roman" w:hAnsi="Times New Roman" w:cs="Times New Roman"/>
                <w:color w:val="auto"/>
                <w:lang w:eastAsia="zh-CN"/>
              </w:rPr>
              <w:t>石化</w:t>
            </w:r>
            <w:r>
              <w:rPr>
                <w:rFonts w:hint="eastAsia" w:ascii="Times New Roman" w:hAnsi="Times New Roman" w:cs="Times New Roman"/>
                <w:color w:val="auto"/>
              </w:rPr>
              <w:t>医院委托书</w:t>
            </w:r>
            <w:r>
              <w:rPr>
                <w:rFonts w:hint="eastAsia" w:ascii="Times New Roman" w:hAnsi="Times New Roman" w:cs="Times New Roman"/>
                <w:color w:val="auto"/>
                <w:lang w:eastAsia="zh-CN"/>
              </w:rPr>
              <w:t>；</w:t>
            </w:r>
          </w:p>
          <w:p>
            <w:pPr>
              <w:spacing w:line="312" w:lineRule="auto"/>
              <w:ind w:firstLine="240" w:firstLineChars="100"/>
              <w:jc w:val="both"/>
              <w:rPr>
                <w:rFonts w:hint="eastAsia" w:ascii="Times New Roman" w:hAnsi="Times New Roman" w:eastAsia="宋体" w:cs="Times New Roman"/>
                <w:color w:val="auto"/>
                <w:lang w:eastAsia="zh-CN"/>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2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⑵</w:t>
            </w:r>
            <w:r>
              <w:rPr>
                <w:rFonts w:ascii="Times New Roman" w:hAnsi="Times New Roman" w:cs="Times New Roman"/>
                <w:color w:val="auto"/>
              </w:rPr>
              <w:fldChar w:fldCharType="end"/>
            </w:r>
            <w:r>
              <w:rPr>
                <w:rFonts w:ascii="Times New Roman" w:hAnsi="Times New Roman" w:cs="Times New Roman"/>
                <w:color w:val="auto"/>
              </w:rPr>
              <w:t xml:space="preserve"> </w:t>
            </w:r>
            <w:r>
              <w:rPr>
                <w:rFonts w:hint="eastAsia" w:ascii="Times New Roman" w:hAnsi="Times New Roman" w:cs="Times New Roman"/>
                <w:color w:val="auto"/>
              </w:rPr>
              <w:t>项目</w:t>
            </w:r>
            <w:r>
              <w:rPr>
                <w:rFonts w:ascii="Times New Roman" w:hAnsi="Times New Roman" w:cs="Times New Roman"/>
                <w:color w:val="auto"/>
              </w:rPr>
              <w:t>环境影响报告表</w:t>
            </w:r>
            <w:r>
              <w:rPr>
                <w:rFonts w:hint="eastAsia" w:ascii="Times New Roman" w:hAnsi="Times New Roman" w:cs="Times New Roman"/>
                <w:color w:val="auto"/>
                <w:lang w:eastAsia="zh-CN"/>
              </w:rPr>
              <w:t>；</w:t>
            </w:r>
          </w:p>
          <w:p>
            <w:pPr>
              <w:spacing w:line="312" w:lineRule="auto"/>
              <w:ind w:firstLine="240" w:firstLineChars="100"/>
              <w:jc w:val="both"/>
              <w:rPr>
                <w:rFonts w:hint="eastAsia" w:ascii="Times New Roman" w:hAnsi="Times New Roman" w:eastAsia="宋体" w:cs="Times New Roman"/>
                <w:color w:val="auto"/>
                <w:lang w:val="en-US" w:eastAsia="zh-CN"/>
              </w:rPr>
            </w:pP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 3 \* GB2</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hint="eastAsia" w:ascii="Times New Roman" w:hAnsi="Times New Roman" w:cs="Times New Roman"/>
                <w:color w:val="auto"/>
              </w:rPr>
              <w:t>⑶</w:t>
            </w:r>
            <w:r>
              <w:rPr>
                <w:rFonts w:ascii="Times New Roman" w:hAnsi="Times New Roman" w:cs="Times New Roman"/>
                <w:color w:val="auto"/>
              </w:rPr>
              <w:fldChar w:fldCharType="end"/>
            </w:r>
            <w:r>
              <w:rPr>
                <w:rFonts w:ascii="Times New Roman" w:hAnsi="Times New Roman" w:cs="Times New Roman"/>
                <w:color w:val="auto"/>
              </w:rPr>
              <w:t xml:space="preserve"> </w:t>
            </w:r>
            <w:r>
              <w:rPr>
                <w:rFonts w:hint="eastAsia" w:ascii="Times New Roman" w:hAnsi="Times New Roman" w:cs="Times New Roman"/>
                <w:color w:val="auto"/>
                <w:lang w:val="en-US" w:eastAsia="zh-CN"/>
              </w:rPr>
              <w:t>安庆市生态环境局</w:t>
            </w:r>
            <w:r>
              <w:rPr>
                <w:rFonts w:hint="eastAsia" w:ascii="Times New Roman" w:hAnsi="Times New Roman" w:cs="Times New Roman"/>
                <w:color w:val="auto"/>
              </w:rPr>
              <w:t>出具的《安庆市生态环境局关于安庆市</w:t>
            </w:r>
            <w:r>
              <w:rPr>
                <w:rFonts w:hint="eastAsia" w:ascii="Times New Roman" w:hAnsi="Times New Roman" w:cs="Times New Roman"/>
                <w:color w:val="auto"/>
                <w:lang w:eastAsia="zh-CN"/>
              </w:rPr>
              <w:t>石化</w:t>
            </w:r>
            <w:r>
              <w:rPr>
                <w:rFonts w:hint="eastAsia" w:ascii="Times New Roman" w:hAnsi="Times New Roman" w:cs="Times New Roman"/>
                <w:color w:val="auto"/>
              </w:rPr>
              <w:t>医院DSA项目环境影响报告表审查意见的函》（宜环建函[2021] 1</w:t>
            </w:r>
            <w:r>
              <w:rPr>
                <w:rFonts w:hint="eastAsia" w:ascii="Times New Roman" w:hAnsi="Times New Roman" w:cs="Times New Roman"/>
                <w:color w:val="auto"/>
                <w:lang w:val="en-US" w:eastAsia="zh-CN"/>
              </w:rPr>
              <w:t>8</w:t>
            </w:r>
            <w:r>
              <w:rPr>
                <w:rFonts w:hint="eastAsia" w:ascii="Times New Roman" w:hAnsi="Times New Roman" w:cs="Times New Roman"/>
                <w:color w:val="auto"/>
              </w:rPr>
              <w:t>号）</w:t>
            </w:r>
            <w:r>
              <w:rPr>
                <w:rFonts w:hint="eastAsia" w:ascii="Times New Roman" w:hAnsi="Times New Roman" w:cs="Times New Roman"/>
                <w:color w:val="auto"/>
                <w:lang w:eastAsia="zh-CN"/>
              </w:rPr>
              <w:t>。</w:t>
            </w:r>
          </w:p>
          <w:p>
            <w:pPr>
              <w:spacing w:line="312" w:lineRule="auto"/>
              <w:jc w:val="both"/>
              <w:rPr>
                <w:rFonts w:ascii="Times New Roman" w:hAnsi="Times New Roman" w:cs="Times New Roman"/>
                <w:color w:val="auto"/>
              </w:rPr>
            </w:pPr>
          </w:p>
        </w:tc>
      </w:tr>
    </w:tbl>
    <w:p>
      <w:pPr>
        <w:rPr>
          <w:color w:val="auto"/>
          <w:sz w:val="12"/>
          <w:szCs w:val="12"/>
        </w:rPr>
      </w:pPr>
    </w:p>
    <w:tbl>
      <w:tblPr>
        <w:tblStyle w:val="38"/>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7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5" w:hRule="atLeast"/>
          <w:jc w:val="center"/>
        </w:trPr>
        <w:tc>
          <w:tcPr>
            <w:tcW w:w="1770" w:type="dxa"/>
            <w:vAlign w:val="center"/>
          </w:tcPr>
          <w:p>
            <w:pPr>
              <w:jc w:val="center"/>
              <w:rPr>
                <w:color w:val="auto"/>
              </w:rPr>
            </w:pPr>
            <w:r>
              <w:rPr>
                <w:color w:val="auto"/>
              </w:rPr>
              <w:t>验收监测评价标准、标号、</w:t>
            </w:r>
          </w:p>
          <w:p>
            <w:pPr>
              <w:jc w:val="center"/>
              <w:rPr>
                <w:rFonts w:ascii="Times New Roman" w:hAnsi="Times New Roman" w:cs="Times New Roman"/>
                <w:color w:val="auto"/>
              </w:rPr>
            </w:pPr>
            <w:r>
              <w:rPr>
                <w:color w:val="auto"/>
              </w:rPr>
              <w:t>级别、限值</w:t>
            </w:r>
          </w:p>
        </w:tc>
        <w:tc>
          <w:tcPr>
            <w:tcW w:w="7814" w:type="dxa"/>
            <w:vAlign w:val="center"/>
          </w:tcPr>
          <w:p>
            <w:pPr>
              <w:spacing w:line="360" w:lineRule="auto"/>
              <w:jc w:val="both"/>
              <w:rPr>
                <w:rFonts w:ascii="Times New Roman" w:hAnsi="Times New Roman" w:cs="Times New Roman"/>
                <w:b/>
                <w:color w:val="auto"/>
              </w:rPr>
            </w:pPr>
            <w:r>
              <w:rPr>
                <w:rFonts w:ascii="Times New Roman" w:hAnsi="Times New Roman" w:cs="Times New Roman"/>
                <w:b/>
                <w:color w:val="auto"/>
              </w:rPr>
              <w:t>1</w:t>
            </w:r>
            <w:r>
              <w:rPr>
                <w:rFonts w:hint="eastAsia" w:ascii="Times New Roman" w:hAnsi="Times New Roman" w:cs="Times New Roman"/>
                <w:b/>
                <w:color w:val="auto"/>
              </w:rPr>
              <w:t xml:space="preserve"> </w:t>
            </w:r>
            <w:r>
              <w:rPr>
                <w:rFonts w:ascii="Times New Roman" w:hAnsi="Times New Roman" w:cs="Times New Roman"/>
                <w:b/>
                <w:color w:val="auto"/>
              </w:rPr>
              <w:t>《电离辐射防护与辐射源安全基本标准》</w:t>
            </w:r>
            <w:r>
              <w:rPr>
                <w:rFonts w:hint="eastAsia" w:ascii="Times New Roman" w:hAnsi="Times New Roman" w:cs="Times New Roman"/>
                <w:b/>
                <w:color w:val="auto"/>
              </w:rPr>
              <w:t>（</w:t>
            </w:r>
            <w:r>
              <w:rPr>
                <w:rFonts w:ascii="Times New Roman" w:hAnsi="Times New Roman" w:cs="Times New Roman"/>
                <w:b/>
                <w:color w:val="auto"/>
              </w:rPr>
              <w:t>GB</w:t>
            </w:r>
            <w:r>
              <w:rPr>
                <w:rFonts w:hint="eastAsia" w:ascii="Times New Roman" w:hAnsi="Times New Roman" w:cs="Times New Roman"/>
                <w:b/>
                <w:color w:val="auto"/>
              </w:rPr>
              <w:t xml:space="preserve"> </w:t>
            </w:r>
            <w:r>
              <w:rPr>
                <w:rFonts w:ascii="Times New Roman" w:hAnsi="Times New Roman" w:cs="Times New Roman"/>
                <w:b/>
                <w:color w:val="auto"/>
              </w:rPr>
              <w:t>18871-2002</w:t>
            </w:r>
            <w:r>
              <w:rPr>
                <w:rFonts w:hint="eastAsia" w:ascii="Times New Roman" w:hAnsi="Times New Roman" w:cs="Times New Roman"/>
                <w:b/>
                <w:color w:val="auto"/>
              </w:rPr>
              <w:t>）</w:t>
            </w:r>
          </w:p>
          <w:p>
            <w:pPr>
              <w:tabs>
                <w:tab w:val="left" w:pos="846"/>
              </w:tabs>
              <w:spacing w:line="360" w:lineRule="auto"/>
              <w:ind w:right="124" w:rightChars="52"/>
              <w:jc w:val="center"/>
              <w:rPr>
                <w:rFonts w:ascii="黑体" w:hAnsi="黑体" w:eastAsia="黑体" w:cs="Times New Roman"/>
                <w:color w:val="auto"/>
              </w:rPr>
            </w:pPr>
            <w:r>
              <w:rPr>
                <w:rFonts w:ascii="黑体" w:hAnsi="黑体" w:eastAsia="黑体" w:cs="Times New Roman"/>
                <w:color w:val="auto"/>
              </w:rPr>
              <w:t>表1-1  剂量限值</w:t>
            </w:r>
          </w:p>
          <w:tbl>
            <w:tblPr>
              <w:tblStyle w:val="38"/>
              <w:tblW w:w="73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6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34" w:type="dxa"/>
                  <w:shd w:val="clear" w:color="auto" w:fill="auto"/>
                  <w:vAlign w:val="center"/>
                </w:tcPr>
                <w:p>
                  <w:pPr>
                    <w:ind w:left="2" w:hanging="2"/>
                    <w:jc w:val="center"/>
                    <w:rPr>
                      <w:rFonts w:ascii="Times New Roman" w:hAnsi="Times New Roman" w:cs="Times New Roman"/>
                      <w:color w:val="auto"/>
                      <w:sz w:val="22"/>
                    </w:rPr>
                  </w:pPr>
                  <w:r>
                    <w:rPr>
                      <w:rFonts w:hint="eastAsia" w:ascii="Times New Roman" w:hAnsi="Times New Roman" w:cs="Times New Roman"/>
                      <w:color w:val="auto"/>
                      <w:sz w:val="22"/>
                    </w:rPr>
                    <w:t>对象</w:t>
                  </w:r>
                </w:p>
              </w:tc>
              <w:tc>
                <w:tcPr>
                  <w:tcW w:w="6096" w:type="dxa"/>
                  <w:shd w:val="clear" w:color="auto" w:fill="auto"/>
                  <w:vAlign w:val="center"/>
                </w:tcPr>
                <w:p>
                  <w:pPr>
                    <w:ind w:left="2" w:hanging="2"/>
                    <w:jc w:val="center"/>
                    <w:rPr>
                      <w:rFonts w:ascii="Times New Roman" w:hAnsi="Times New Roman" w:cs="Times New Roman"/>
                      <w:color w:val="auto"/>
                      <w:sz w:val="22"/>
                    </w:rPr>
                  </w:pPr>
                  <w:r>
                    <w:rPr>
                      <w:rFonts w:hint="eastAsia" w:ascii="Times New Roman" w:hAnsi="Times New Roman" w:cs="Times New Roman"/>
                      <w:color w:val="auto"/>
                      <w:sz w:val="22"/>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134" w:type="dxa"/>
                  <w:shd w:val="clear" w:color="auto" w:fill="auto"/>
                  <w:vAlign w:val="center"/>
                </w:tcPr>
                <w:p>
                  <w:pPr>
                    <w:ind w:left="2" w:hanging="2"/>
                    <w:jc w:val="center"/>
                    <w:rPr>
                      <w:rFonts w:ascii="Times New Roman" w:hAnsi="Times New Roman" w:cs="Times New Roman"/>
                      <w:color w:val="auto"/>
                      <w:sz w:val="22"/>
                    </w:rPr>
                  </w:pPr>
                  <w:r>
                    <w:rPr>
                      <w:rFonts w:hint="eastAsia" w:ascii="Times New Roman" w:hAnsi="Times New Roman" w:cs="Times New Roman"/>
                      <w:color w:val="auto"/>
                      <w:sz w:val="22"/>
                    </w:rPr>
                    <w:t>职业照射</w:t>
                  </w:r>
                </w:p>
                <w:p>
                  <w:pPr>
                    <w:ind w:left="2" w:hanging="2"/>
                    <w:jc w:val="center"/>
                    <w:rPr>
                      <w:rFonts w:ascii="Times New Roman" w:hAnsi="Times New Roman" w:cs="Times New Roman"/>
                      <w:color w:val="auto"/>
                      <w:sz w:val="22"/>
                    </w:rPr>
                  </w:pPr>
                  <w:r>
                    <w:rPr>
                      <w:rFonts w:hint="eastAsia" w:ascii="Times New Roman" w:hAnsi="Times New Roman" w:cs="Times New Roman"/>
                      <w:color w:val="auto"/>
                      <w:sz w:val="22"/>
                    </w:rPr>
                    <w:t>剂量限值</w:t>
                  </w:r>
                </w:p>
              </w:tc>
              <w:tc>
                <w:tcPr>
                  <w:tcW w:w="6096" w:type="dxa"/>
                  <w:shd w:val="clear" w:color="auto" w:fill="auto"/>
                  <w:vAlign w:val="center"/>
                </w:tcPr>
                <w:p>
                  <w:pPr>
                    <w:ind w:left="2"/>
                    <w:rPr>
                      <w:rFonts w:ascii="Times New Roman" w:hAnsi="Times New Roman" w:cs="Times New Roman"/>
                      <w:color w:val="auto"/>
                      <w:sz w:val="22"/>
                    </w:rPr>
                  </w:pPr>
                  <w:r>
                    <w:rPr>
                      <w:rFonts w:hint="eastAsia" w:ascii="Times New Roman" w:hAnsi="Times New Roman" w:cs="Times New Roman"/>
                      <w:color w:val="auto"/>
                      <w:sz w:val="22"/>
                    </w:rPr>
                    <w:t>①</w:t>
                  </w:r>
                  <w:r>
                    <w:rPr>
                      <w:rFonts w:ascii="Times New Roman" w:hAnsi="Times New Roman" w:cs="Times New Roman"/>
                      <w:color w:val="auto"/>
                      <w:sz w:val="22"/>
                    </w:rPr>
                    <w:t xml:space="preserve"> 由审管部门决定的连续5年的年平均有效剂量（但不可作任何追溯性平均），20mSv</w:t>
                  </w:r>
                </w:p>
                <w:p>
                  <w:pPr>
                    <w:rPr>
                      <w:rFonts w:ascii="Times New Roman" w:hAnsi="Times New Roman" w:cs="Times New Roman"/>
                      <w:color w:val="auto"/>
                      <w:sz w:val="22"/>
                    </w:rPr>
                  </w:pPr>
                  <w:r>
                    <w:rPr>
                      <w:rFonts w:hint="eastAsia" w:ascii="Times New Roman" w:hAnsi="Times New Roman" w:cs="Times New Roman"/>
                      <w:color w:val="auto"/>
                      <w:sz w:val="22"/>
                    </w:rPr>
                    <w:t>②</w:t>
                  </w:r>
                  <w:r>
                    <w:rPr>
                      <w:rFonts w:ascii="Times New Roman" w:hAnsi="Times New Roman" w:cs="Times New Roman"/>
                      <w:color w:val="auto"/>
                      <w:sz w:val="22"/>
                    </w:rPr>
                    <w:t xml:space="preserve"> 任何一年中的有效剂量，50mSv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134" w:type="dxa"/>
                  <w:shd w:val="clear" w:color="auto" w:fill="auto"/>
                  <w:vAlign w:val="center"/>
                </w:tcPr>
                <w:p>
                  <w:pPr>
                    <w:ind w:left="2" w:hanging="2"/>
                    <w:jc w:val="center"/>
                    <w:rPr>
                      <w:rFonts w:ascii="Times New Roman" w:hAnsi="Times New Roman" w:cs="Times New Roman"/>
                      <w:color w:val="auto"/>
                      <w:sz w:val="22"/>
                    </w:rPr>
                  </w:pPr>
                  <w:r>
                    <w:rPr>
                      <w:rFonts w:hint="eastAsia" w:ascii="Times New Roman" w:hAnsi="Times New Roman" w:cs="Times New Roman"/>
                      <w:color w:val="auto"/>
                      <w:sz w:val="22"/>
                    </w:rPr>
                    <w:t>公众照射</w:t>
                  </w:r>
                </w:p>
                <w:p>
                  <w:pPr>
                    <w:ind w:left="2" w:hanging="2"/>
                    <w:jc w:val="center"/>
                    <w:rPr>
                      <w:rFonts w:ascii="Times New Roman" w:hAnsi="Times New Roman" w:cs="Times New Roman"/>
                      <w:color w:val="auto"/>
                      <w:sz w:val="22"/>
                    </w:rPr>
                  </w:pPr>
                  <w:r>
                    <w:rPr>
                      <w:rFonts w:hint="eastAsia" w:ascii="Times New Roman" w:hAnsi="Times New Roman" w:cs="Times New Roman"/>
                      <w:color w:val="auto"/>
                      <w:sz w:val="22"/>
                    </w:rPr>
                    <w:t>剂量限值</w:t>
                  </w:r>
                </w:p>
              </w:tc>
              <w:tc>
                <w:tcPr>
                  <w:tcW w:w="6096" w:type="dxa"/>
                  <w:shd w:val="clear" w:color="auto" w:fill="auto"/>
                  <w:vAlign w:val="center"/>
                </w:tcPr>
                <w:p>
                  <w:pPr>
                    <w:ind w:left="2"/>
                    <w:rPr>
                      <w:rFonts w:ascii="Times New Roman" w:hAnsi="Times New Roman" w:cs="Times New Roman"/>
                      <w:color w:val="auto"/>
                      <w:sz w:val="22"/>
                    </w:rPr>
                  </w:pPr>
                  <w:r>
                    <w:rPr>
                      <w:rFonts w:hint="eastAsia" w:ascii="Times New Roman" w:hAnsi="Times New Roman" w:cs="Times New Roman"/>
                      <w:color w:val="auto"/>
                      <w:sz w:val="22"/>
                    </w:rPr>
                    <w:t>实践使公众有关关键人群组的成员所受的平均剂量估计值不应超过下述限值：</w:t>
                  </w:r>
                  <w:r>
                    <w:rPr>
                      <w:rFonts w:hint="eastAsia"/>
                      <w:color w:val="auto"/>
                      <w:sz w:val="22"/>
                    </w:rPr>
                    <w:t>①</w:t>
                  </w:r>
                  <w:r>
                    <w:rPr>
                      <w:rFonts w:ascii="Times New Roman" w:hAnsi="Times New Roman" w:cs="Times New Roman"/>
                      <w:color w:val="auto"/>
                      <w:sz w:val="22"/>
                    </w:rPr>
                    <w:t>年</w:t>
                  </w:r>
                  <w:r>
                    <w:rPr>
                      <w:rFonts w:hint="eastAsia" w:ascii="Times New Roman" w:hAnsi="Times New Roman" w:cs="Times New Roman"/>
                      <w:color w:val="auto"/>
                      <w:sz w:val="22"/>
                    </w:rPr>
                    <w:t>有效剂量，</w:t>
                  </w:r>
                  <w:r>
                    <w:rPr>
                      <w:rFonts w:ascii="Times New Roman" w:hAnsi="Times New Roman" w:cs="Times New Roman"/>
                      <w:color w:val="auto"/>
                      <w:sz w:val="22"/>
                    </w:rPr>
                    <w:t>lmSv；</w:t>
                  </w:r>
                  <w:r>
                    <w:rPr>
                      <w:rFonts w:hint="eastAsia"/>
                      <w:color w:val="auto"/>
                      <w:sz w:val="22"/>
                    </w:rPr>
                    <w:t>②</w:t>
                  </w:r>
                  <w:r>
                    <w:rPr>
                      <w:rFonts w:ascii="Times New Roman" w:hAnsi="Times New Roman" w:cs="Times New Roman"/>
                      <w:color w:val="auto"/>
                      <w:sz w:val="22"/>
                    </w:rPr>
                    <w:t>特殊情况下，如果5个连续年的年平均剂量不超过lmSv，则某</w:t>
                  </w:r>
                  <w:r>
                    <w:rPr>
                      <w:rFonts w:hint="eastAsia" w:ascii="Times New Roman" w:hAnsi="Times New Roman" w:cs="Times New Roman"/>
                      <w:color w:val="auto"/>
                      <w:sz w:val="22"/>
                    </w:rPr>
                    <w:t>一单一年份的有效剂量可提高到</w:t>
                  </w:r>
                  <w:r>
                    <w:rPr>
                      <w:rFonts w:ascii="Times New Roman" w:hAnsi="Times New Roman" w:cs="Times New Roman"/>
                      <w:color w:val="auto"/>
                      <w:sz w:val="22"/>
                    </w:rPr>
                    <w:t>5mSv。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34" w:type="dxa"/>
                  <w:shd w:val="clear" w:color="auto" w:fill="auto"/>
                  <w:vAlign w:val="center"/>
                </w:tcPr>
                <w:p>
                  <w:pPr>
                    <w:ind w:left="2" w:hanging="2"/>
                    <w:jc w:val="center"/>
                    <w:rPr>
                      <w:rFonts w:ascii="Times New Roman" w:hAnsi="Times New Roman" w:cs="Times New Roman"/>
                      <w:color w:val="auto"/>
                      <w:sz w:val="22"/>
                    </w:rPr>
                  </w:pPr>
                  <w:r>
                    <w:rPr>
                      <w:rFonts w:hint="eastAsia" w:ascii="Times New Roman" w:hAnsi="Times New Roman" w:cs="Times New Roman"/>
                      <w:color w:val="auto"/>
                      <w:sz w:val="22"/>
                    </w:rPr>
                    <w:t>管理目标</w:t>
                  </w:r>
                </w:p>
              </w:tc>
              <w:tc>
                <w:tcPr>
                  <w:tcW w:w="6096" w:type="dxa"/>
                  <w:shd w:val="clear" w:color="auto" w:fill="auto"/>
                  <w:vAlign w:val="center"/>
                </w:tcPr>
                <w:p>
                  <w:pPr>
                    <w:ind w:left="2"/>
                    <w:rPr>
                      <w:rFonts w:ascii="Times New Roman" w:hAnsi="Times New Roman" w:cs="Times New Roman"/>
                      <w:color w:val="auto"/>
                      <w:sz w:val="22"/>
                    </w:rPr>
                  </w:pPr>
                  <w:r>
                    <w:rPr>
                      <w:rFonts w:hint="eastAsia" w:ascii="Times New Roman" w:hAnsi="Times New Roman" w:cs="Times New Roman"/>
                      <w:color w:val="auto"/>
                      <w:sz w:val="22"/>
                    </w:rPr>
                    <w:t>DSA手术医师</w:t>
                  </w:r>
                  <w:r>
                    <w:rPr>
                      <w:rFonts w:ascii="Times New Roman" w:hAnsi="Times New Roman" w:cs="Times New Roman"/>
                      <w:color w:val="auto"/>
                      <w:sz w:val="22"/>
                    </w:rPr>
                    <w:t>年有</w:t>
                  </w:r>
                  <w:r>
                    <w:rPr>
                      <w:rFonts w:hint="eastAsia" w:ascii="Times New Roman" w:hAnsi="Times New Roman" w:cs="Times New Roman"/>
                      <w:color w:val="auto"/>
                      <w:sz w:val="22"/>
                    </w:rPr>
                    <w:t>效剂量不超过10</w:t>
                  </w:r>
                  <w:r>
                    <w:rPr>
                      <w:rFonts w:ascii="Times New Roman" w:hAnsi="Times New Roman" w:cs="Times New Roman"/>
                      <w:color w:val="auto"/>
                      <w:sz w:val="22"/>
                    </w:rPr>
                    <w:t>mSv</w:t>
                  </w:r>
                  <w:r>
                    <w:rPr>
                      <w:rFonts w:hint="eastAsia" w:ascii="Times New Roman" w:hAnsi="Times New Roman" w:cs="Times New Roman"/>
                      <w:color w:val="auto"/>
                      <w:sz w:val="22"/>
                    </w:rPr>
                    <w:t>，其他</w:t>
                  </w:r>
                  <w:r>
                    <w:rPr>
                      <w:rFonts w:ascii="Times New Roman" w:hAnsi="Times New Roman" w:cs="Times New Roman"/>
                      <w:color w:val="auto"/>
                      <w:sz w:val="22"/>
                    </w:rPr>
                    <w:t>辐射工作人员年有</w:t>
                  </w:r>
                  <w:r>
                    <w:rPr>
                      <w:rFonts w:hint="eastAsia" w:ascii="Times New Roman" w:hAnsi="Times New Roman" w:cs="Times New Roman"/>
                      <w:color w:val="auto"/>
                      <w:sz w:val="22"/>
                    </w:rPr>
                    <w:t>效剂量不超过</w:t>
                  </w:r>
                  <w:r>
                    <w:rPr>
                      <w:rFonts w:ascii="Times New Roman" w:hAnsi="Times New Roman" w:cs="Times New Roman"/>
                      <w:color w:val="auto"/>
                      <w:sz w:val="22"/>
                    </w:rPr>
                    <w:t>5mSv；公众成员年有效剂量不超过0.25mSv</w:t>
                  </w:r>
                </w:p>
              </w:tc>
            </w:tr>
          </w:tbl>
          <w:p>
            <w:pPr>
              <w:spacing w:before="156" w:beforeLines="50" w:line="360" w:lineRule="auto"/>
              <w:ind w:right="124" w:rightChars="52"/>
              <w:rPr>
                <w:rFonts w:hint="eastAsia" w:ascii="Times New Roman" w:hAnsi="Times New Roman" w:eastAsia="宋体" w:cs="Times New Roman"/>
                <w:b/>
                <w:color w:val="auto"/>
                <w:lang w:eastAsia="zh-CN"/>
              </w:rPr>
            </w:pPr>
            <w:r>
              <w:rPr>
                <w:rFonts w:ascii="Times New Roman" w:hAnsi="Times New Roman" w:cs="Times New Roman"/>
                <w:b/>
                <w:color w:val="auto"/>
              </w:rPr>
              <w:t>2 《放射诊断放射防护要求》（GBZ 130-2020）</w:t>
            </w:r>
          </w:p>
          <w:p>
            <w:pPr>
              <w:spacing w:line="360" w:lineRule="auto"/>
              <w:ind w:right="124" w:rightChars="52"/>
              <w:rPr>
                <w:rFonts w:ascii="Times New Roman" w:hAnsi="Times New Roman" w:cs="Times New Roman"/>
                <w:b/>
                <w:color w:val="auto"/>
              </w:rPr>
            </w:pPr>
            <w:r>
              <w:rPr>
                <w:rFonts w:hint="eastAsia" w:ascii="Times New Roman" w:hAnsi="Times New Roman" w:cs="Times New Roman"/>
                <w:b/>
                <w:color w:val="auto"/>
              </w:rPr>
              <w:t>重点引用：</w:t>
            </w:r>
          </w:p>
          <w:p>
            <w:pPr>
              <w:widowControl w:val="0"/>
              <w:spacing w:line="360" w:lineRule="auto"/>
              <w:ind w:firstLine="480" w:firstLineChars="200"/>
              <w:jc w:val="both"/>
              <w:rPr>
                <w:rFonts w:ascii="黑体" w:hAnsi="黑体" w:eastAsia="黑体" w:cs="Times New Roman"/>
                <w:color w:val="auto"/>
                <w:kern w:val="2"/>
              </w:rPr>
            </w:pPr>
            <w:r>
              <w:rPr>
                <w:rFonts w:ascii="黑体" w:hAnsi="黑体" w:eastAsia="黑体" w:cs="Times New Roman"/>
                <w:color w:val="auto"/>
                <w:kern w:val="2"/>
              </w:rPr>
              <w:t>6.1 X射线设备机房布局</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6.1.1 应合理设置X射线设备、机房的门、窗和管线口位置，应尽量避免有用线束直接照射门、窗、</w:t>
            </w:r>
            <w:r>
              <w:rPr>
                <w:rFonts w:hint="eastAsia" w:ascii="Times New Roman" w:hAnsi="Times New Roman" w:cs="Times New Roman"/>
                <w:color w:val="auto"/>
                <w:kern w:val="2"/>
              </w:rPr>
              <w:t>管线口和工作人员操作位。</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6.1.2 X射线设备机房（照射室）的设置应充分考虑邻室（含楼上和楼下）及周围场所的人员防护与</w:t>
            </w:r>
            <w:r>
              <w:rPr>
                <w:rFonts w:hint="eastAsia" w:ascii="Times New Roman" w:hAnsi="Times New Roman" w:cs="Times New Roman"/>
                <w:color w:val="auto"/>
                <w:kern w:val="2"/>
              </w:rPr>
              <w:t>安全。</w:t>
            </w:r>
          </w:p>
          <w:p>
            <w:pPr>
              <w:widowControl w:val="0"/>
              <w:spacing w:line="360" w:lineRule="auto"/>
              <w:ind w:firstLine="480" w:firstLineChars="200"/>
              <w:jc w:val="both"/>
              <w:rPr>
                <w:rFonts w:hint="eastAsia" w:ascii="Times New Roman" w:hAnsi="Times New Roman" w:eastAsia="宋体" w:cs="Times New Roman"/>
                <w:color w:val="auto"/>
                <w:kern w:val="2"/>
                <w:lang w:eastAsia="zh-CN"/>
              </w:rPr>
            </w:pPr>
            <w:r>
              <w:rPr>
                <w:rFonts w:ascii="Times New Roman" w:hAnsi="Times New Roman" w:cs="Times New Roman"/>
                <w:color w:val="auto"/>
                <w:kern w:val="2"/>
              </w:rPr>
              <w:t>6.1.3 每台固定使用的X射线设备应设有单独的机房，机房应满足使用设备的布局要求</w:t>
            </w:r>
            <w:r>
              <w:rPr>
                <w:rFonts w:hint="eastAsia" w:ascii="Times New Roman" w:hAnsi="Times New Roman" w:cs="Times New Roman"/>
                <w:color w:val="auto"/>
                <w:kern w:val="2"/>
                <w:lang w:eastAsia="zh-CN"/>
              </w:rPr>
              <w:t>。</w:t>
            </w:r>
          </w:p>
          <w:p>
            <w:pPr>
              <w:widowControl w:val="0"/>
              <w:spacing w:line="360" w:lineRule="auto"/>
              <w:ind w:firstLine="480" w:firstLineChars="200"/>
              <w:jc w:val="both"/>
              <w:rPr>
                <w:rFonts w:ascii="黑体" w:hAnsi="黑体" w:eastAsia="黑体" w:cs="Times New Roman"/>
                <w:color w:val="auto"/>
                <w:kern w:val="2"/>
              </w:rPr>
            </w:pPr>
            <w:r>
              <w:rPr>
                <w:rFonts w:ascii="黑体" w:hAnsi="黑体" w:eastAsia="黑体" w:cs="Times New Roman"/>
                <w:color w:val="auto"/>
                <w:kern w:val="2"/>
              </w:rPr>
              <w:t>6.2 X</w:t>
            </w:r>
            <w:r>
              <w:rPr>
                <w:rFonts w:hint="eastAsia" w:ascii="黑体" w:hAnsi="黑体" w:eastAsia="黑体" w:cs="Times New Roman"/>
                <w:color w:val="auto"/>
                <w:kern w:val="2"/>
              </w:rPr>
              <w:t>射线设备机房屏蔽</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6.2.1 不同类型X射线设备（不含床旁摄影设备和便携式X射线设备）机房的屏蔽防护应不低于表1-2</w:t>
            </w:r>
            <w:r>
              <w:rPr>
                <w:rFonts w:hint="eastAsia" w:ascii="Times New Roman" w:hAnsi="Times New Roman" w:cs="Times New Roman"/>
                <w:color w:val="auto"/>
                <w:kern w:val="2"/>
              </w:rPr>
              <w:t>的规定。</w:t>
            </w:r>
          </w:p>
          <w:p>
            <w:pPr>
              <w:tabs>
                <w:tab w:val="left" w:pos="846"/>
              </w:tabs>
              <w:spacing w:line="360" w:lineRule="auto"/>
              <w:ind w:right="124" w:rightChars="52"/>
              <w:jc w:val="center"/>
              <w:rPr>
                <w:rFonts w:ascii="黑体" w:hAnsi="黑体" w:eastAsia="黑体" w:cs="Times New Roman"/>
                <w:color w:val="auto"/>
              </w:rPr>
            </w:pPr>
            <w:r>
              <w:rPr>
                <w:rFonts w:hint="eastAsia" w:ascii="黑体" w:hAnsi="黑体" w:eastAsia="黑体" w:cs="Times New Roman"/>
                <w:color w:val="auto"/>
              </w:rPr>
              <w:t>表</w:t>
            </w:r>
            <w:r>
              <w:rPr>
                <w:rFonts w:ascii="黑体" w:hAnsi="黑体" w:eastAsia="黑体" w:cs="Times New Roman"/>
                <w:color w:val="auto"/>
              </w:rPr>
              <w:t>1-2</w:t>
            </w:r>
            <w:r>
              <w:rPr>
                <w:rFonts w:ascii="黑体" w:hAnsi="黑体" w:eastAsia="黑体" w:cs="Times New Roman"/>
                <w:color w:val="auto"/>
              </w:rPr>
              <w:t xml:space="preserve">  不同类型X射线设备机房的屏蔽防护铅当量厚度要求</w:t>
            </w:r>
          </w:p>
          <w:tbl>
            <w:tblPr>
              <w:tblStyle w:val="39"/>
              <w:tblW w:w="73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7"/>
              <w:gridCol w:w="2310"/>
              <w:gridCol w:w="2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437" w:type="dxa"/>
                  <w:vAlign w:val="center"/>
                </w:tcPr>
                <w:p>
                  <w:pPr>
                    <w:widowControl/>
                    <w:ind w:left="2"/>
                    <w:jc w:val="center"/>
                    <w:rPr>
                      <w:rFonts w:ascii="Times New Roman" w:hAnsi="Times New Roman" w:cs="Times New Roman"/>
                      <w:color w:val="auto"/>
                      <w:sz w:val="22"/>
                    </w:rPr>
                  </w:pPr>
                  <w:r>
                    <w:rPr>
                      <w:rFonts w:hint="eastAsia" w:ascii="Times New Roman" w:hAnsi="Times New Roman" w:cs="Times New Roman"/>
                      <w:color w:val="auto"/>
                      <w:sz w:val="22"/>
                    </w:rPr>
                    <w:t>机房</w:t>
                  </w:r>
                  <w:r>
                    <w:rPr>
                      <w:rFonts w:ascii="Times New Roman" w:hAnsi="Times New Roman" w:cs="Times New Roman"/>
                      <w:color w:val="auto"/>
                      <w:sz w:val="22"/>
                    </w:rPr>
                    <w:t>类型</w:t>
                  </w:r>
                </w:p>
              </w:tc>
              <w:tc>
                <w:tcPr>
                  <w:tcW w:w="2310" w:type="dxa"/>
                  <w:vAlign w:val="center"/>
                </w:tcPr>
                <w:p>
                  <w:pPr>
                    <w:widowControl/>
                    <w:ind w:left="2"/>
                    <w:jc w:val="center"/>
                    <w:rPr>
                      <w:rFonts w:ascii="Times New Roman" w:hAnsi="Times New Roman" w:cs="Times New Roman"/>
                      <w:color w:val="auto"/>
                      <w:sz w:val="22"/>
                    </w:rPr>
                  </w:pPr>
                  <w:r>
                    <w:rPr>
                      <w:rFonts w:hint="eastAsia" w:ascii="Times New Roman" w:hAnsi="Times New Roman" w:cs="Times New Roman"/>
                      <w:color w:val="auto"/>
                      <w:sz w:val="22"/>
                    </w:rPr>
                    <w:t>有用</w:t>
                  </w:r>
                  <w:r>
                    <w:rPr>
                      <w:rFonts w:ascii="Times New Roman" w:hAnsi="Times New Roman" w:cs="Times New Roman"/>
                      <w:color w:val="auto"/>
                      <w:sz w:val="22"/>
                    </w:rPr>
                    <w:t>线束方向铅当量</w:t>
                  </w:r>
                </w:p>
                <w:p>
                  <w:pPr>
                    <w:widowControl/>
                    <w:ind w:left="2"/>
                    <w:jc w:val="center"/>
                    <w:rPr>
                      <w:rFonts w:ascii="Times New Roman" w:hAnsi="Times New Roman" w:cs="Times New Roman"/>
                      <w:color w:val="auto"/>
                      <w:sz w:val="22"/>
                    </w:rPr>
                  </w:pPr>
                  <w:r>
                    <w:rPr>
                      <w:rFonts w:hint="eastAsia" w:ascii="Times New Roman" w:hAnsi="Times New Roman" w:cs="Times New Roman"/>
                      <w:color w:val="auto"/>
                      <w:sz w:val="22"/>
                    </w:rPr>
                    <w:t>mm</w:t>
                  </w:r>
                  <w:r>
                    <w:rPr>
                      <w:rFonts w:ascii="Times New Roman" w:hAnsi="Times New Roman" w:cs="Times New Roman"/>
                      <w:color w:val="auto"/>
                      <w:sz w:val="22"/>
                    </w:rPr>
                    <w:t>Pb</w:t>
                  </w:r>
                </w:p>
              </w:tc>
              <w:tc>
                <w:tcPr>
                  <w:tcW w:w="2624" w:type="dxa"/>
                  <w:vAlign w:val="center"/>
                </w:tcPr>
                <w:p>
                  <w:pPr>
                    <w:widowControl/>
                    <w:ind w:left="2"/>
                    <w:jc w:val="center"/>
                    <w:rPr>
                      <w:rFonts w:ascii="Times New Roman" w:hAnsi="Times New Roman" w:cs="Times New Roman"/>
                      <w:color w:val="auto"/>
                      <w:sz w:val="22"/>
                    </w:rPr>
                  </w:pPr>
                  <w:r>
                    <w:rPr>
                      <w:rFonts w:hint="eastAsia" w:ascii="Times New Roman" w:hAnsi="Times New Roman" w:cs="Times New Roman"/>
                      <w:color w:val="auto"/>
                      <w:sz w:val="22"/>
                    </w:rPr>
                    <w:t>非有用线束方向铅当量</w:t>
                  </w:r>
                </w:p>
                <w:p>
                  <w:pPr>
                    <w:widowControl/>
                    <w:ind w:left="2"/>
                    <w:jc w:val="center"/>
                    <w:rPr>
                      <w:rFonts w:ascii="Times New Roman" w:hAnsi="Times New Roman" w:cs="Times New Roman"/>
                      <w:color w:val="auto"/>
                      <w:sz w:val="22"/>
                    </w:rPr>
                  </w:pPr>
                  <w:r>
                    <w:rPr>
                      <w:rFonts w:hint="eastAsia" w:ascii="Times New Roman" w:hAnsi="Times New Roman" w:cs="Times New Roman"/>
                      <w:color w:val="auto"/>
                      <w:sz w:val="22"/>
                    </w:rPr>
                    <w:t>mm</w:t>
                  </w:r>
                  <w:r>
                    <w:rPr>
                      <w:rFonts w:ascii="Times New Roman" w:hAnsi="Times New Roman" w:cs="Times New Roman"/>
                      <w:color w:val="auto"/>
                      <w:sz w:val="22"/>
                    </w:rPr>
                    <w:t>Pb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7" w:type="dxa"/>
                  <w:vAlign w:val="center"/>
                </w:tcPr>
                <w:p>
                  <w:pPr>
                    <w:widowControl/>
                    <w:ind w:left="2"/>
                    <w:jc w:val="center"/>
                    <w:rPr>
                      <w:rFonts w:ascii="Times New Roman" w:hAnsi="Times New Roman" w:cs="Times New Roman"/>
                      <w:color w:val="auto"/>
                      <w:sz w:val="22"/>
                    </w:rPr>
                  </w:pPr>
                  <w:r>
                    <w:rPr>
                      <w:rFonts w:hint="eastAsia" w:ascii="Times New Roman" w:hAnsi="Times New Roman" w:cs="Times New Roman"/>
                      <w:color w:val="auto"/>
                      <w:sz w:val="22"/>
                    </w:rPr>
                    <w:t>标称125</w:t>
                  </w:r>
                  <w:r>
                    <w:rPr>
                      <w:rFonts w:ascii="Times New Roman" w:hAnsi="Times New Roman" w:cs="Times New Roman"/>
                      <w:color w:val="auto"/>
                      <w:sz w:val="22"/>
                    </w:rPr>
                    <w:t>kV以</w:t>
                  </w:r>
                  <w:r>
                    <w:rPr>
                      <w:rFonts w:hint="eastAsia" w:ascii="Times New Roman" w:hAnsi="Times New Roman" w:cs="Times New Roman"/>
                      <w:color w:val="auto"/>
                      <w:sz w:val="22"/>
                      <w:lang w:eastAsia="zh-CN"/>
                    </w:rPr>
                    <w:t>上</w:t>
                  </w:r>
                  <w:r>
                    <w:rPr>
                      <w:rFonts w:ascii="Times New Roman" w:hAnsi="Times New Roman" w:cs="Times New Roman"/>
                      <w:color w:val="auto"/>
                      <w:sz w:val="22"/>
                    </w:rPr>
                    <w:t>的摄影机房</w:t>
                  </w:r>
                </w:p>
              </w:tc>
              <w:tc>
                <w:tcPr>
                  <w:tcW w:w="2310" w:type="dxa"/>
                  <w:vAlign w:val="center"/>
                </w:tcPr>
                <w:p>
                  <w:pPr>
                    <w:widowControl/>
                    <w:ind w:left="2"/>
                    <w:jc w:val="center"/>
                    <w:rPr>
                      <w:rFonts w:ascii="Times New Roman" w:hAnsi="Times New Roman" w:cs="Times New Roman"/>
                      <w:color w:val="auto"/>
                      <w:sz w:val="22"/>
                    </w:rPr>
                  </w:pPr>
                  <w:r>
                    <w:rPr>
                      <w:rFonts w:hint="eastAsia" w:ascii="Times New Roman" w:hAnsi="Times New Roman" w:cs="Times New Roman"/>
                      <w:color w:val="auto"/>
                      <w:sz w:val="22"/>
                      <w:lang w:val="en-US" w:eastAsia="zh-CN"/>
                    </w:rPr>
                    <w:t>3</w:t>
                  </w:r>
                  <w:r>
                    <w:rPr>
                      <w:rFonts w:hint="eastAsia" w:ascii="Times New Roman" w:hAnsi="Times New Roman" w:cs="Times New Roman"/>
                      <w:color w:val="auto"/>
                      <w:sz w:val="22"/>
                    </w:rPr>
                    <w:t>.0</w:t>
                  </w:r>
                </w:p>
              </w:tc>
              <w:tc>
                <w:tcPr>
                  <w:tcW w:w="2624" w:type="dxa"/>
                  <w:vAlign w:val="center"/>
                </w:tcPr>
                <w:p>
                  <w:pPr>
                    <w:widowControl/>
                    <w:ind w:left="2"/>
                    <w:jc w:val="center"/>
                    <w:rPr>
                      <w:rFonts w:ascii="Times New Roman" w:hAnsi="Times New Roman" w:cs="Times New Roman"/>
                      <w:color w:val="auto"/>
                      <w:sz w:val="22"/>
                    </w:rPr>
                  </w:pPr>
                  <w:r>
                    <w:rPr>
                      <w:rFonts w:hint="eastAsia" w:ascii="Times New Roman" w:hAnsi="Times New Roman" w:cs="Times New Roman"/>
                      <w:color w:val="auto"/>
                      <w:sz w:val="22"/>
                      <w:lang w:val="en-US" w:eastAsia="zh-CN"/>
                    </w:rPr>
                    <w:t>2</w:t>
                  </w:r>
                  <w:r>
                    <w:rPr>
                      <w:rFonts w:hint="eastAsia" w:ascii="Times New Roman" w:hAnsi="Times New Roman" w:cs="Times New Roman"/>
                      <w:color w:val="auto"/>
                      <w:sz w:val="22"/>
                    </w:rPr>
                    <w:t>.0</w:t>
                  </w:r>
                </w:p>
              </w:tc>
            </w:tr>
          </w:tbl>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6.2.3 机房的门和窗关闭时应满足表1-2的要求。</w:t>
            </w:r>
          </w:p>
          <w:p>
            <w:pPr>
              <w:widowControl w:val="0"/>
              <w:spacing w:line="360" w:lineRule="auto"/>
              <w:ind w:firstLine="480" w:firstLineChars="200"/>
              <w:jc w:val="both"/>
              <w:rPr>
                <w:rFonts w:ascii="黑体" w:hAnsi="黑体" w:eastAsia="黑体" w:cs="Times New Roman"/>
                <w:color w:val="auto"/>
                <w:kern w:val="2"/>
              </w:rPr>
            </w:pPr>
            <w:r>
              <w:rPr>
                <w:rFonts w:ascii="黑体" w:hAnsi="黑体" w:eastAsia="黑体" w:cs="Times New Roman"/>
                <w:color w:val="auto"/>
                <w:kern w:val="2"/>
              </w:rPr>
              <w:t>6.3 X射线设备机房屏蔽体外剂量水平</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6.3.1 机房的辐射屏蔽防护，应满足下列要求：</w:t>
            </w:r>
          </w:p>
        </w:tc>
      </w:tr>
    </w:tbl>
    <w:p>
      <w:pPr>
        <w:rPr>
          <w:color w:val="auto"/>
          <w:sz w:val="12"/>
          <w:szCs w:val="12"/>
        </w:rPr>
      </w:pPr>
    </w:p>
    <w:tbl>
      <w:tblPr>
        <w:tblStyle w:val="38"/>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7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7" w:hRule="atLeast"/>
          <w:jc w:val="center"/>
        </w:trPr>
        <w:tc>
          <w:tcPr>
            <w:tcW w:w="1770" w:type="dxa"/>
            <w:vAlign w:val="center"/>
          </w:tcPr>
          <w:p>
            <w:pPr>
              <w:jc w:val="center"/>
              <w:rPr>
                <w:color w:val="auto"/>
              </w:rPr>
            </w:pPr>
            <w:r>
              <w:rPr>
                <w:color w:val="auto"/>
              </w:rPr>
              <w:t>验收监测评价标准、标号、</w:t>
            </w:r>
          </w:p>
          <w:p>
            <w:pPr>
              <w:jc w:val="center"/>
              <w:rPr>
                <w:rFonts w:ascii="Times New Roman" w:hAnsi="Times New Roman" w:cs="Times New Roman"/>
                <w:color w:val="auto"/>
              </w:rPr>
            </w:pPr>
            <w:r>
              <w:rPr>
                <w:color w:val="auto"/>
              </w:rPr>
              <w:t>级别、限值</w:t>
            </w:r>
          </w:p>
        </w:tc>
        <w:tc>
          <w:tcPr>
            <w:tcW w:w="7814" w:type="dxa"/>
          </w:tcPr>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a</w:t>
            </w:r>
            <w:r>
              <w:rPr>
                <w:rFonts w:hint="eastAsia" w:ascii="Times New Roman" w:hAnsi="Times New Roman" w:cs="Times New Roman"/>
                <w:color w:val="auto"/>
                <w:kern w:val="2"/>
              </w:rPr>
              <w:t>）</w:t>
            </w:r>
            <w:r>
              <w:rPr>
                <w:rFonts w:ascii="Times New Roman" w:hAnsi="Times New Roman" w:cs="Times New Roman"/>
                <w:color w:val="auto"/>
                <w:kern w:val="2"/>
              </w:rPr>
              <w:t>具有透视功能的X射线设备在透视条件下检测时，周围剂量当量率应不大于2.5μSv/h；测</w:t>
            </w:r>
            <w:r>
              <w:rPr>
                <w:rFonts w:hint="eastAsia" w:ascii="Times New Roman" w:hAnsi="Times New Roman" w:cs="Times New Roman"/>
                <w:color w:val="auto"/>
                <w:kern w:val="2"/>
              </w:rPr>
              <w:t>量时，</w:t>
            </w:r>
            <w:r>
              <w:rPr>
                <w:rFonts w:ascii="Times New Roman" w:hAnsi="Times New Roman" w:cs="Times New Roman"/>
                <w:color w:val="auto"/>
                <w:kern w:val="2"/>
              </w:rPr>
              <w:t>X射线设备连续出束时间应大于仪器响应时间；</w:t>
            </w:r>
          </w:p>
          <w:p>
            <w:pPr>
              <w:widowControl w:val="0"/>
              <w:spacing w:line="360" w:lineRule="auto"/>
              <w:ind w:firstLine="480" w:firstLineChars="200"/>
              <w:jc w:val="both"/>
              <w:rPr>
                <w:rFonts w:ascii="黑体" w:hAnsi="黑体" w:eastAsia="黑体" w:cs="Times New Roman"/>
                <w:color w:val="auto"/>
                <w:kern w:val="2"/>
              </w:rPr>
            </w:pPr>
            <w:r>
              <w:rPr>
                <w:rFonts w:ascii="黑体" w:hAnsi="黑体" w:eastAsia="黑体" w:cs="Times New Roman"/>
                <w:color w:val="auto"/>
                <w:kern w:val="2"/>
              </w:rPr>
              <w:t>6.4 X射线设备工作场所防护</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6.4.1 机房应设有观察窗或摄像监控装置，其设置的位置应便于观察到受检者状态及防护门开闭情况。</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6.4.2 机房内不应堆放与该设备诊断工作无关的杂物。</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6.4.3 机房应设置动力通风装置，并保持良好的通风。</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6.4.4 机房门外应有电离辐射警告标志；机房门上方应有醒目的工作状态指示灯，灯箱上应设置如“射</w:t>
            </w:r>
            <w:r>
              <w:rPr>
                <w:rFonts w:hint="eastAsia" w:ascii="Times New Roman" w:hAnsi="Times New Roman" w:cs="Times New Roman"/>
                <w:color w:val="auto"/>
                <w:kern w:val="2"/>
              </w:rPr>
              <w:t>线有害、灯亮勿入”的可视警示语句；候诊区应设置放射防护注意事项告知栏。</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6.4.5 平开机房门应有自动闭门装置；推拉式机房门应设有曝光时关闭机房门的管理措施；工作状态</w:t>
            </w:r>
            <w:r>
              <w:rPr>
                <w:rFonts w:hint="eastAsia" w:ascii="Times New Roman" w:hAnsi="Times New Roman" w:cs="Times New Roman"/>
                <w:color w:val="auto"/>
                <w:kern w:val="2"/>
              </w:rPr>
              <w:t>指示灯能与机房门有效关联。</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6.4.6 电动推拉门宜设置防夹装置。</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6.4.7 受检者不应在机房内候诊；非特殊情况，检查过程中陪检者不应滞留在机房内。</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6.4.10 机房出入门宜处于散射辐射相对低的位置。</w:t>
            </w:r>
          </w:p>
          <w:p>
            <w:pPr>
              <w:widowControl w:val="0"/>
              <w:spacing w:line="360" w:lineRule="auto"/>
              <w:ind w:firstLine="480" w:firstLineChars="200"/>
              <w:jc w:val="both"/>
              <w:rPr>
                <w:rFonts w:ascii="黑体" w:hAnsi="黑体" w:eastAsia="黑体" w:cs="Times New Roman"/>
                <w:color w:val="auto"/>
                <w:kern w:val="2"/>
              </w:rPr>
            </w:pPr>
            <w:r>
              <w:rPr>
                <w:rFonts w:ascii="黑体" w:hAnsi="黑体" w:eastAsia="黑体" w:cs="Times New Roman"/>
                <w:color w:val="auto"/>
                <w:kern w:val="2"/>
              </w:rPr>
              <w:t>6.5 X射线设备工作场所防护用品及防护设施配置要求</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6.5.1 每台X射线设备根据工作内容，现场应配备不少于表4基本种类要求的工作人员、受检者防护</w:t>
            </w:r>
            <w:r>
              <w:rPr>
                <w:rFonts w:hint="eastAsia" w:ascii="Times New Roman" w:hAnsi="Times New Roman" w:cs="Times New Roman"/>
                <w:color w:val="auto"/>
                <w:kern w:val="2"/>
              </w:rPr>
              <w:t>用品与辅助防护设施，其数量应满足开展工作需要，对陪检者应至少配备铅橡胶防护衣。</w:t>
            </w:r>
          </w:p>
          <w:p>
            <w:pPr>
              <w:tabs>
                <w:tab w:val="left" w:pos="846"/>
              </w:tabs>
              <w:spacing w:line="360" w:lineRule="auto"/>
              <w:ind w:right="124" w:rightChars="52"/>
              <w:jc w:val="center"/>
              <w:rPr>
                <w:rFonts w:ascii="黑体" w:hAnsi="黑体" w:eastAsia="黑体" w:cs="Times New Roman"/>
                <w:color w:val="auto"/>
              </w:rPr>
            </w:pPr>
            <w:r>
              <w:rPr>
                <w:rFonts w:ascii="黑体" w:hAnsi="黑体" w:eastAsia="黑体" w:cs="Times New Roman"/>
                <w:color w:val="auto"/>
              </w:rPr>
              <w:t>表</w:t>
            </w:r>
            <w:r>
              <w:rPr>
                <w:rFonts w:hint="eastAsia" w:ascii="黑体" w:hAnsi="黑体" w:eastAsia="黑体" w:cs="Times New Roman"/>
                <w:color w:val="auto"/>
              </w:rPr>
              <w:t>1-</w:t>
            </w:r>
            <w:r>
              <w:rPr>
                <w:rFonts w:ascii="黑体" w:hAnsi="黑体" w:eastAsia="黑体" w:cs="Times New Roman"/>
                <w:color w:val="auto"/>
              </w:rPr>
              <w:t xml:space="preserve">3  </w:t>
            </w:r>
            <w:r>
              <w:rPr>
                <w:rFonts w:hint="eastAsia" w:ascii="黑体" w:hAnsi="黑体" w:eastAsia="黑体" w:cs="Times New Roman"/>
                <w:color w:val="auto"/>
              </w:rPr>
              <w:t>个人防护用品和辅助防护设施配置要求</w:t>
            </w:r>
          </w:p>
          <w:tbl>
            <w:tblPr>
              <w:tblStyle w:val="38"/>
              <w:tblW w:w="74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701"/>
              <w:gridCol w:w="1807"/>
              <w:gridCol w:w="1737"/>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36" w:type="dxa"/>
                  <w:vMerge w:val="restart"/>
                  <w:shd w:val="clear" w:color="auto" w:fill="auto"/>
                  <w:vAlign w:val="center"/>
                </w:tcPr>
                <w:p>
                  <w:pPr>
                    <w:jc w:val="center"/>
                    <w:rPr>
                      <w:rFonts w:ascii="Times New Roman" w:hAnsi="Times New Roman"/>
                      <w:b/>
                      <w:bCs/>
                      <w:color w:val="auto"/>
                      <w:sz w:val="22"/>
                      <w:szCs w:val="22"/>
                    </w:rPr>
                  </w:pPr>
                  <w:r>
                    <w:rPr>
                      <w:rFonts w:ascii="Times New Roman" w:hAnsi="Times New Roman"/>
                      <w:b/>
                      <w:bCs/>
                      <w:color w:val="auto"/>
                      <w:sz w:val="22"/>
                      <w:szCs w:val="22"/>
                    </w:rPr>
                    <w:t>放射检查类型</w:t>
                  </w:r>
                </w:p>
              </w:tc>
              <w:tc>
                <w:tcPr>
                  <w:tcW w:w="3508" w:type="dxa"/>
                  <w:gridSpan w:val="2"/>
                  <w:vAlign w:val="center"/>
                </w:tcPr>
                <w:p>
                  <w:pPr>
                    <w:ind w:left="-120" w:leftChars="-50" w:right="-120" w:rightChars="-50"/>
                    <w:jc w:val="center"/>
                    <w:rPr>
                      <w:rFonts w:ascii="Times New Roman" w:hAnsi="Times New Roman"/>
                      <w:b/>
                      <w:bCs/>
                      <w:color w:val="auto"/>
                      <w:sz w:val="22"/>
                      <w:szCs w:val="22"/>
                    </w:rPr>
                  </w:pPr>
                  <w:r>
                    <w:rPr>
                      <w:rFonts w:hint="eastAsia" w:ascii="Times New Roman" w:hAnsi="Times New Roman"/>
                      <w:b/>
                      <w:bCs/>
                      <w:color w:val="auto"/>
                      <w:sz w:val="22"/>
                      <w:szCs w:val="22"/>
                    </w:rPr>
                    <w:t>工作人员</w:t>
                  </w:r>
                </w:p>
              </w:tc>
              <w:tc>
                <w:tcPr>
                  <w:tcW w:w="2729" w:type="dxa"/>
                  <w:gridSpan w:val="2"/>
                  <w:vAlign w:val="center"/>
                </w:tcPr>
                <w:p>
                  <w:pPr>
                    <w:ind w:left="-120" w:leftChars="-50" w:right="-120" w:rightChars="-50"/>
                    <w:jc w:val="center"/>
                    <w:rPr>
                      <w:rFonts w:ascii="Times New Roman" w:hAnsi="Times New Roman"/>
                      <w:b/>
                      <w:bCs/>
                      <w:color w:val="auto"/>
                      <w:sz w:val="22"/>
                      <w:szCs w:val="22"/>
                    </w:rPr>
                  </w:pPr>
                  <w:r>
                    <w:rPr>
                      <w:rFonts w:hint="eastAsia" w:ascii="Times New Roman" w:hAnsi="Times New Roman"/>
                      <w:b/>
                      <w:bCs/>
                      <w:color w:val="auto"/>
                      <w:sz w:val="22"/>
                      <w:szCs w:val="22"/>
                    </w:rPr>
                    <w:t>患者和受检者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36" w:type="dxa"/>
                  <w:vMerge w:val="continue"/>
                  <w:shd w:val="clear" w:color="auto" w:fill="auto"/>
                  <w:vAlign w:val="center"/>
                </w:tcPr>
                <w:p>
                  <w:pPr>
                    <w:jc w:val="center"/>
                    <w:rPr>
                      <w:rFonts w:ascii="Times New Roman" w:hAnsi="Times New Roman"/>
                      <w:b/>
                      <w:color w:val="auto"/>
                      <w:sz w:val="22"/>
                      <w:szCs w:val="22"/>
                    </w:rPr>
                  </w:pPr>
                </w:p>
              </w:tc>
              <w:tc>
                <w:tcPr>
                  <w:tcW w:w="1701" w:type="dxa"/>
                </w:tcPr>
                <w:p>
                  <w:pPr>
                    <w:jc w:val="center"/>
                    <w:rPr>
                      <w:b/>
                      <w:color w:val="auto"/>
                      <w:sz w:val="22"/>
                      <w:szCs w:val="22"/>
                    </w:rPr>
                  </w:pPr>
                  <w:r>
                    <w:rPr>
                      <w:rFonts w:hint="eastAsia"/>
                      <w:b/>
                      <w:color w:val="auto"/>
                      <w:sz w:val="22"/>
                      <w:szCs w:val="22"/>
                    </w:rPr>
                    <w:t>个人防护</w:t>
                  </w:r>
                </w:p>
                <w:p>
                  <w:pPr>
                    <w:jc w:val="center"/>
                    <w:rPr>
                      <w:b/>
                      <w:color w:val="auto"/>
                      <w:sz w:val="22"/>
                      <w:szCs w:val="22"/>
                    </w:rPr>
                  </w:pPr>
                  <w:r>
                    <w:rPr>
                      <w:rFonts w:hint="eastAsia"/>
                      <w:b/>
                      <w:color w:val="auto"/>
                      <w:sz w:val="22"/>
                      <w:szCs w:val="22"/>
                    </w:rPr>
                    <w:t>用品</w:t>
                  </w:r>
                </w:p>
              </w:tc>
              <w:tc>
                <w:tcPr>
                  <w:tcW w:w="1807" w:type="dxa"/>
                  <w:shd w:val="clear" w:color="auto" w:fill="auto"/>
                </w:tcPr>
                <w:p>
                  <w:pPr>
                    <w:jc w:val="center"/>
                    <w:rPr>
                      <w:b/>
                      <w:color w:val="auto"/>
                      <w:sz w:val="22"/>
                      <w:szCs w:val="22"/>
                    </w:rPr>
                  </w:pPr>
                  <w:r>
                    <w:rPr>
                      <w:b/>
                      <w:color w:val="auto"/>
                      <w:sz w:val="22"/>
                      <w:szCs w:val="22"/>
                    </w:rPr>
                    <w:t>辅助防护</w:t>
                  </w:r>
                </w:p>
                <w:p>
                  <w:pPr>
                    <w:jc w:val="center"/>
                    <w:rPr>
                      <w:b/>
                      <w:color w:val="auto"/>
                      <w:sz w:val="22"/>
                      <w:szCs w:val="22"/>
                    </w:rPr>
                  </w:pPr>
                  <w:r>
                    <w:rPr>
                      <w:b/>
                      <w:color w:val="auto"/>
                      <w:sz w:val="22"/>
                      <w:szCs w:val="22"/>
                    </w:rPr>
                    <w:t>设施</w:t>
                  </w:r>
                </w:p>
              </w:tc>
              <w:tc>
                <w:tcPr>
                  <w:tcW w:w="1737" w:type="dxa"/>
                </w:tcPr>
                <w:p>
                  <w:pPr>
                    <w:jc w:val="center"/>
                    <w:rPr>
                      <w:b/>
                      <w:color w:val="auto"/>
                      <w:sz w:val="22"/>
                      <w:szCs w:val="22"/>
                    </w:rPr>
                  </w:pPr>
                  <w:r>
                    <w:rPr>
                      <w:b/>
                      <w:color w:val="auto"/>
                      <w:sz w:val="22"/>
                      <w:szCs w:val="22"/>
                    </w:rPr>
                    <w:t>个人防护</w:t>
                  </w:r>
                </w:p>
                <w:p>
                  <w:pPr>
                    <w:jc w:val="center"/>
                    <w:rPr>
                      <w:b/>
                      <w:color w:val="auto"/>
                      <w:sz w:val="22"/>
                      <w:szCs w:val="22"/>
                    </w:rPr>
                  </w:pPr>
                  <w:r>
                    <w:rPr>
                      <w:b/>
                      <w:color w:val="auto"/>
                      <w:sz w:val="22"/>
                      <w:szCs w:val="22"/>
                    </w:rPr>
                    <w:t>用品</w:t>
                  </w:r>
                </w:p>
              </w:tc>
              <w:tc>
                <w:tcPr>
                  <w:tcW w:w="992" w:type="dxa"/>
                  <w:shd w:val="clear" w:color="auto" w:fill="auto"/>
                </w:tcPr>
                <w:p>
                  <w:pPr>
                    <w:jc w:val="center"/>
                    <w:rPr>
                      <w:b/>
                      <w:color w:val="auto"/>
                      <w:sz w:val="22"/>
                      <w:szCs w:val="22"/>
                    </w:rPr>
                  </w:pPr>
                  <w:r>
                    <w:rPr>
                      <w:b/>
                      <w:color w:val="auto"/>
                      <w:sz w:val="22"/>
                      <w:szCs w:val="22"/>
                    </w:rPr>
                    <w:t>辅助防护设施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36" w:type="dxa"/>
                  <w:shd w:val="clear" w:color="auto" w:fill="auto"/>
                  <w:vAlign w:val="center"/>
                </w:tcPr>
                <w:p>
                  <w:pPr>
                    <w:jc w:val="center"/>
                    <w:rPr>
                      <w:rFonts w:ascii="Times New Roman" w:hAnsi="Times New Roman"/>
                      <w:color w:val="auto"/>
                      <w:sz w:val="22"/>
                      <w:szCs w:val="22"/>
                    </w:rPr>
                  </w:pPr>
                  <w:r>
                    <w:rPr>
                      <w:rFonts w:hint="eastAsia" w:ascii="Times New Roman" w:hAnsi="Times New Roman"/>
                      <w:color w:val="auto"/>
                      <w:sz w:val="22"/>
                      <w:szCs w:val="22"/>
                    </w:rPr>
                    <w:t>介入放射学操作</w:t>
                  </w:r>
                </w:p>
              </w:tc>
              <w:tc>
                <w:tcPr>
                  <w:tcW w:w="1701" w:type="dxa"/>
                  <w:vAlign w:val="center"/>
                </w:tcPr>
                <w:p>
                  <w:pPr>
                    <w:jc w:val="center"/>
                    <w:rPr>
                      <w:rFonts w:ascii="Times New Roman" w:hAnsi="Times New Roman"/>
                      <w:color w:val="auto"/>
                      <w:sz w:val="22"/>
                      <w:szCs w:val="22"/>
                    </w:rPr>
                  </w:pPr>
                  <w:r>
                    <w:rPr>
                      <w:rFonts w:hint="eastAsia" w:ascii="Times New Roman" w:hAnsi="Times New Roman"/>
                      <w:color w:val="auto"/>
                      <w:sz w:val="22"/>
                      <w:szCs w:val="22"/>
                    </w:rPr>
                    <w:t>铅橡胶围裙、铅橡胶颈套、铅防护眼镜、</w:t>
                  </w:r>
                  <w:r>
                    <w:rPr>
                      <w:rFonts w:ascii="Times New Roman" w:hAnsi="Times New Roman"/>
                      <w:color w:val="auto"/>
                      <w:sz w:val="22"/>
                      <w:szCs w:val="22"/>
                    </w:rPr>
                    <w:t>介入防护手</w:t>
                  </w:r>
                  <w:r>
                    <w:rPr>
                      <w:rFonts w:hint="eastAsia" w:ascii="Times New Roman" w:hAnsi="Times New Roman"/>
                      <w:color w:val="auto"/>
                      <w:sz w:val="22"/>
                      <w:szCs w:val="22"/>
                    </w:rPr>
                    <w:t>套</w:t>
                  </w:r>
                </w:p>
                <w:p>
                  <w:pPr>
                    <w:jc w:val="center"/>
                    <w:rPr>
                      <w:rFonts w:ascii="Times New Roman" w:hAnsi="Times New Roman"/>
                      <w:color w:val="auto"/>
                      <w:sz w:val="22"/>
                      <w:szCs w:val="22"/>
                    </w:rPr>
                  </w:pPr>
                  <w:r>
                    <w:rPr>
                      <w:rFonts w:hint="eastAsia" w:ascii="Times New Roman" w:hAnsi="Times New Roman"/>
                      <w:color w:val="auto"/>
                      <w:sz w:val="22"/>
                      <w:szCs w:val="22"/>
                    </w:rPr>
                    <w:t>选配：铅橡胶帽子</w:t>
                  </w:r>
                </w:p>
              </w:tc>
              <w:tc>
                <w:tcPr>
                  <w:tcW w:w="1807" w:type="dxa"/>
                  <w:shd w:val="clear" w:color="auto" w:fill="auto"/>
                  <w:vAlign w:val="center"/>
                </w:tcPr>
                <w:p>
                  <w:pPr>
                    <w:jc w:val="center"/>
                    <w:rPr>
                      <w:rFonts w:ascii="Times New Roman" w:hAnsi="Times New Roman"/>
                      <w:color w:val="auto"/>
                      <w:sz w:val="22"/>
                      <w:szCs w:val="22"/>
                    </w:rPr>
                  </w:pPr>
                  <w:r>
                    <w:rPr>
                      <w:rFonts w:hint="eastAsia" w:ascii="Times New Roman" w:hAnsi="Times New Roman"/>
                      <w:color w:val="auto"/>
                      <w:sz w:val="22"/>
                      <w:szCs w:val="22"/>
                    </w:rPr>
                    <w:t>铅悬挂防护屏</w:t>
                  </w:r>
                  <w:r>
                    <w:rPr>
                      <w:rFonts w:ascii="Times New Roman" w:hAnsi="Times New Roman"/>
                      <w:color w:val="auto"/>
                      <w:sz w:val="22"/>
                      <w:szCs w:val="22"/>
                    </w:rPr>
                    <w:t>/铅防</w:t>
                  </w:r>
                  <w:r>
                    <w:rPr>
                      <w:rFonts w:hint="eastAsia" w:ascii="Times New Roman" w:hAnsi="Times New Roman"/>
                      <w:color w:val="auto"/>
                      <w:sz w:val="22"/>
                      <w:szCs w:val="22"/>
                    </w:rPr>
                    <w:t>护吊帘、床侧防护帘</w:t>
                  </w:r>
                  <w:r>
                    <w:rPr>
                      <w:rFonts w:ascii="Times New Roman" w:hAnsi="Times New Roman"/>
                      <w:color w:val="auto"/>
                      <w:sz w:val="22"/>
                      <w:szCs w:val="22"/>
                    </w:rPr>
                    <w:t>/</w:t>
                  </w:r>
                  <w:r>
                    <w:rPr>
                      <w:rFonts w:hint="eastAsia" w:ascii="Times New Roman" w:hAnsi="Times New Roman"/>
                      <w:color w:val="auto"/>
                      <w:sz w:val="22"/>
                      <w:szCs w:val="22"/>
                    </w:rPr>
                    <w:t>床侧防护屏</w:t>
                  </w:r>
                </w:p>
                <w:p>
                  <w:pPr>
                    <w:jc w:val="center"/>
                    <w:rPr>
                      <w:rFonts w:ascii="Times New Roman" w:hAnsi="Times New Roman"/>
                      <w:color w:val="auto"/>
                      <w:sz w:val="22"/>
                      <w:szCs w:val="22"/>
                    </w:rPr>
                  </w:pPr>
                  <w:r>
                    <w:rPr>
                      <w:rFonts w:hint="eastAsia" w:ascii="Times New Roman" w:hAnsi="Times New Roman"/>
                      <w:color w:val="auto"/>
                      <w:sz w:val="22"/>
                      <w:szCs w:val="22"/>
                    </w:rPr>
                    <w:t>选配：移动铅防护屏风</w:t>
                  </w:r>
                </w:p>
              </w:tc>
              <w:tc>
                <w:tcPr>
                  <w:tcW w:w="1737" w:type="dxa"/>
                  <w:vAlign w:val="center"/>
                </w:tcPr>
                <w:p>
                  <w:pPr>
                    <w:jc w:val="center"/>
                    <w:rPr>
                      <w:rFonts w:ascii="Times New Roman" w:hAnsi="Times New Roman"/>
                      <w:color w:val="auto"/>
                      <w:sz w:val="22"/>
                      <w:szCs w:val="22"/>
                    </w:rPr>
                  </w:pPr>
                  <w:r>
                    <w:rPr>
                      <w:rFonts w:hint="eastAsia" w:ascii="Times New Roman" w:hAnsi="Times New Roman"/>
                      <w:color w:val="auto"/>
                      <w:sz w:val="22"/>
                      <w:szCs w:val="22"/>
                    </w:rPr>
                    <w:t>铅橡胶性腺防护围裙（方形）或方巾、铅橡胶颈套</w:t>
                  </w:r>
                </w:p>
                <w:p>
                  <w:pPr>
                    <w:jc w:val="center"/>
                    <w:rPr>
                      <w:rFonts w:ascii="Times New Roman" w:hAnsi="Times New Roman"/>
                      <w:color w:val="auto"/>
                      <w:sz w:val="22"/>
                      <w:szCs w:val="22"/>
                    </w:rPr>
                  </w:pPr>
                  <w:r>
                    <w:rPr>
                      <w:rFonts w:hint="eastAsia" w:ascii="Times New Roman" w:hAnsi="Times New Roman"/>
                      <w:color w:val="auto"/>
                      <w:sz w:val="22"/>
                      <w:szCs w:val="22"/>
                    </w:rPr>
                    <w:t>选配：铅橡胶帽子</w:t>
                  </w:r>
                </w:p>
              </w:tc>
              <w:tc>
                <w:tcPr>
                  <w:tcW w:w="992" w:type="dxa"/>
                  <w:shd w:val="clear" w:color="auto" w:fill="auto"/>
                  <w:vAlign w:val="center"/>
                </w:tcPr>
                <w:p>
                  <w:pPr>
                    <w:ind w:left="-120" w:leftChars="-50" w:right="-120" w:rightChars="-50"/>
                    <w:jc w:val="center"/>
                    <w:rPr>
                      <w:rFonts w:ascii="Times New Roman" w:hAnsi="Times New Roman"/>
                      <w:color w:val="auto"/>
                      <w:sz w:val="22"/>
                      <w:szCs w:val="22"/>
                    </w:rPr>
                  </w:pPr>
                  <w:r>
                    <w:rPr>
                      <w:rFonts w:ascii="Times New Roman" w:hAnsi="Times New Roman"/>
                      <w:color w:val="auto"/>
                      <w:sz w:val="22"/>
                      <w:szCs w:val="22"/>
                    </w:rPr>
                    <w:t>—</w:t>
                  </w:r>
                </w:p>
              </w:tc>
            </w:tr>
          </w:tbl>
          <w:p>
            <w:pPr>
              <w:widowControl w:val="0"/>
              <w:spacing w:line="360" w:lineRule="auto"/>
              <w:jc w:val="both"/>
              <w:rPr>
                <w:rFonts w:ascii="Times New Roman" w:hAnsi="Times New Roman"/>
                <w:color w:val="auto"/>
              </w:rPr>
            </w:pPr>
          </w:p>
        </w:tc>
      </w:tr>
    </w:tbl>
    <w:p>
      <w:pPr>
        <w:rPr>
          <w:color w:val="auto"/>
          <w:sz w:val="12"/>
          <w:szCs w:val="12"/>
        </w:rPr>
      </w:pPr>
    </w:p>
    <w:tbl>
      <w:tblPr>
        <w:tblStyle w:val="38"/>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7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7" w:hRule="atLeast"/>
          <w:jc w:val="center"/>
        </w:trPr>
        <w:tc>
          <w:tcPr>
            <w:tcW w:w="1770" w:type="dxa"/>
            <w:vAlign w:val="center"/>
          </w:tcPr>
          <w:p>
            <w:pPr>
              <w:jc w:val="center"/>
              <w:rPr>
                <w:color w:val="auto"/>
              </w:rPr>
            </w:pPr>
            <w:r>
              <w:rPr>
                <w:color w:val="auto"/>
              </w:rPr>
              <w:t>验收监测评价标准、标号、</w:t>
            </w:r>
          </w:p>
          <w:p>
            <w:pPr>
              <w:jc w:val="center"/>
              <w:rPr>
                <w:rFonts w:ascii="Times New Roman" w:hAnsi="Times New Roman" w:cs="Times New Roman"/>
                <w:color w:val="auto"/>
              </w:rPr>
            </w:pPr>
            <w:r>
              <w:rPr>
                <w:color w:val="auto"/>
              </w:rPr>
              <w:t>级别、限值</w:t>
            </w:r>
          </w:p>
        </w:tc>
        <w:tc>
          <w:tcPr>
            <w:tcW w:w="7814" w:type="dxa"/>
          </w:tcPr>
          <w:p>
            <w:pPr>
              <w:spacing w:line="360" w:lineRule="auto"/>
              <w:ind w:firstLine="110" w:firstLineChars="50"/>
              <w:rPr>
                <w:rFonts w:ascii="Times New Roman" w:hAnsi="Times New Roman"/>
                <w:color w:val="auto"/>
                <w:sz w:val="22"/>
                <w:szCs w:val="22"/>
              </w:rPr>
            </w:pPr>
            <w:r>
              <w:rPr>
                <w:rFonts w:hint="eastAsia" w:ascii="Times New Roman" w:hAnsi="Times New Roman"/>
                <w:color w:val="auto"/>
                <w:sz w:val="22"/>
                <w:szCs w:val="22"/>
              </w:rPr>
              <w:t>注1</w:t>
            </w:r>
            <w:r>
              <w:rPr>
                <w:rFonts w:ascii="Times New Roman" w:hAnsi="Times New Roman"/>
                <w:color w:val="auto"/>
                <w:sz w:val="22"/>
                <w:szCs w:val="22"/>
              </w:rPr>
              <w:t>：“—”</w:t>
            </w:r>
            <w:r>
              <w:rPr>
                <w:rFonts w:hint="eastAsia" w:ascii="Times New Roman" w:hAnsi="Times New Roman"/>
                <w:color w:val="auto"/>
                <w:sz w:val="22"/>
                <w:szCs w:val="22"/>
              </w:rPr>
              <w:t>表示</w:t>
            </w:r>
            <w:r>
              <w:rPr>
                <w:rFonts w:ascii="Times New Roman" w:hAnsi="Times New Roman"/>
                <w:color w:val="auto"/>
                <w:sz w:val="22"/>
                <w:szCs w:val="22"/>
              </w:rPr>
              <w:t>不</w:t>
            </w:r>
            <w:r>
              <w:rPr>
                <w:rFonts w:hint="eastAsia" w:ascii="Times New Roman" w:hAnsi="Times New Roman"/>
                <w:color w:val="auto"/>
                <w:sz w:val="22"/>
                <w:szCs w:val="22"/>
              </w:rPr>
              <w:t>做</w:t>
            </w:r>
            <w:r>
              <w:rPr>
                <w:rFonts w:ascii="Times New Roman" w:hAnsi="Times New Roman"/>
                <w:color w:val="auto"/>
                <w:sz w:val="22"/>
                <w:szCs w:val="22"/>
              </w:rPr>
              <w:t>要求。</w:t>
            </w:r>
          </w:p>
          <w:p>
            <w:pPr>
              <w:spacing w:line="360" w:lineRule="auto"/>
              <w:ind w:firstLine="110" w:firstLineChars="50"/>
              <w:rPr>
                <w:rFonts w:ascii="Times New Roman" w:hAnsi="Times New Roman"/>
                <w:color w:val="auto"/>
                <w:sz w:val="22"/>
                <w:szCs w:val="22"/>
              </w:rPr>
            </w:pPr>
            <w:r>
              <w:rPr>
                <w:rFonts w:hint="eastAsia" w:ascii="Times New Roman" w:hAnsi="Times New Roman"/>
                <w:color w:val="auto"/>
                <w:sz w:val="22"/>
                <w:szCs w:val="22"/>
              </w:rPr>
              <w:t>注2：各类个人防护用品和辅助防护设施，</w:t>
            </w:r>
            <w:r>
              <w:rPr>
                <w:rFonts w:ascii="Times New Roman" w:hAnsi="Times New Roman"/>
                <w:color w:val="auto"/>
                <w:sz w:val="22"/>
                <w:szCs w:val="22"/>
              </w:rPr>
              <w:t xml:space="preserve"> 指防电离辐射的用品和设施。鼓励使用非铅材料防护用品，特别是非铅介入防</w:t>
            </w:r>
            <w:r>
              <w:rPr>
                <w:rFonts w:hint="eastAsia" w:ascii="Times New Roman" w:hAnsi="Times New Roman"/>
                <w:color w:val="auto"/>
                <w:sz w:val="22"/>
                <w:szCs w:val="22"/>
              </w:rPr>
              <w:t>护手套。</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6.5.3 除介入防护手套外，防护用品和辅助防护设施的铅当量应不小于0.25 mmPb；介入防护手套铅</w:t>
            </w:r>
            <w:r>
              <w:rPr>
                <w:rFonts w:hint="eastAsia" w:ascii="Times New Roman" w:hAnsi="Times New Roman" w:cs="Times New Roman"/>
                <w:color w:val="auto"/>
                <w:kern w:val="2"/>
              </w:rPr>
              <w:t>当量应不小于</w:t>
            </w:r>
            <w:r>
              <w:rPr>
                <w:rFonts w:ascii="Times New Roman" w:hAnsi="Times New Roman" w:cs="Times New Roman"/>
                <w:color w:val="auto"/>
                <w:kern w:val="2"/>
              </w:rPr>
              <w:t>0.025 mmPb；甲状腺、性腺防护用品铅当量应不小于0.5mmPb；移动铅防护屏风铅当量</w:t>
            </w:r>
            <w:r>
              <w:rPr>
                <w:rFonts w:hint="eastAsia" w:ascii="Times New Roman" w:hAnsi="Times New Roman" w:cs="Times New Roman"/>
                <w:color w:val="auto"/>
                <w:kern w:val="2"/>
              </w:rPr>
              <w:t>应不小于</w:t>
            </w:r>
            <w:r>
              <w:rPr>
                <w:rFonts w:ascii="Times New Roman" w:hAnsi="Times New Roman" w:cs="Times New Roman"/>
                <w:color w:val="auto"/>
                <w:kern w:val="2"/>
              </w:rPr>
              <w:t>2mmPb。</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6.5.4 应为儿童的X射线检查配备保护相应组织和器官的防护用品，防护用品和辅助防护设施的铅当</w:t>
            </w:r>
            <w:r>
              <w:rPr>
                <w:rFonts w:hint="eastAsia" w:ascii="Times New Roman" w:hAnsi="Times New Roman" w:cs="Times New Roman"/>
                <w:color w:val="auto"/>
                <w:kern w:val="2"/>
              </w:rPr>
              <w:t>量应不小于</w:t>
            </w:r>
            <w:r>
              <w:rPr>
                <w:rFonts w:ascii="Times New Roman" w:hAnsi="Times New Roman" w:cs="Times New Roman"/>
                <w:color w:val="auto"/>
                <w:kern w:val="2"/>
              </w:rPr>
              <w:t>0.5 mmPb。</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6.5.5 个人防护用品不使用时，应妥善存放，不应折叠放置，以防止断裂。</w:t>
            </w:r>
          </w:p>
          <w:p>
            <w:pPr>
              <w:widowControl w:val="0"/>
              <w:spacing w:line="360" w:lineRule="auto"/>
              <w:ind w:firstLine="480" w:firstLineChars="200"/>
              <w:jc w:val="both"/>
              <w:rPr>
                <w:rFonts w:ascii="黑体" w:hAnsi="黑体" w:eastAsia="黑体" w:cs="Times New Roman"/>
                <w:color w:val="auto"/>
                <w:kern w:val="2"/>
              </w:rPr>
            </w:pPr>
            <w:r>
              <w:rPr>
                <w:rFonts w:ascii="黑体" w:hAnsi="黑体" w:eastAsia="黑体" w:cs="Times New Roman"/>
                <w:color w:val="auto"/>
                <w:kern w:val="2"/>
              </w:rPr>
              <w:t>7.8 介入放射学和近台同室操作（非普通荧光屏透视）用X射线设备操作的防护安全要求</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7.8.1 介入放射学、近台同室操作（非普通荧光屏透视）用X射线设备应满足其相应设备的防护安全</w:t>
            </w:r>
            <w:r>
              <w:rPr>
                <w:rFonts w:hint="eastAsia" w:ascii="Times New Roman" w:hAnsi="Times New Roman" w:cs="Times New Roman"/>
                <w:color w:val="auto"/>
                <w:kern w:val="2"/>
              </w:rPr>
              <w:t>操作要求。</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7.8.2 介入放射学用X射线设备应具有记录受检者剂量的装置，并尽可能将每次诊疗后受检者受照剂</w:t>
            </w:r>
            <w:r>
              <w:rPr>
                <w:rFonts w:hint="eastAsia" w:ascii="Times New Roman" w:hAnsi="Times New Roman" w:cs="Times New Roman"/>
                <w:color w:val="auto"/>
                <w:kern w:val="2"/>
              </w:rPr>
              <w:t>量记录在病历中，需要时，应能追溯到受检者的受照剂量。</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7.8.3 除存在临床不可接受的情况外，图像采集时工作人员应尽量不在机房内停留；对受检者实施照</w:t>
            </w:r>
            <w:r>
              <w:rPr>
                <w:rFonts w:hint="eastAsia" w:ascii="Times New Roman" w:hAnsi="Times New Roman" w:cs="Times New Roman"/>
                <w:color w:val="auto"/>
                <w:kern w:val="2"/>
              </w:rPr>
              <w:t>射时，禁止与诊疗无关的其他人员在机房内停留。</w:t>
            </w:r>
          </w:p>
          <w:p>
            <w:pPr>
              <w:widowControl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7.8.4 穿着防护服进行介入放射学操作的工作人员，其个人剂量计佩戴要求应符合GBZ 128的规定。</w:t>
            </w:r>
          </w:p>
          <w:p>
            <w:pPr>
              <w:widowControl w:val="0"/>
              <w:spacing w:line="360" w:lineRule="auto"/>
              <w:jc w:val="both"/>
              <w:rPr>
                <w:rFonts w:ascii="Times New Roman" w:hAnsi="Times New Roman"/>
                <w:color w:val="auto"/>
              </w:rPr>
            </w:pPr>
          </w:p>
        </w:tc>
      </w:tr>
    </w:tbl>
    <w:p>
      <w:pPr>
        <w:pStyle w:val="4"/>
        <w:spacing w:line="360" w:lineRule="auto"/>
        <w:jc w:val="center"/>
        <w:rPr>
          <w:rFonts w:ascii="仿宋" w:hAnsi="仿宋" w:eastAsia="仿宋"/>
          <w:color w:val="auto"/>
          <w:sz w:val="28"/>
          <w:szCs w:val="28"/>
        </w:rPr>
      </w:pPr>
      <w:bookmarkStart w:id="8" w:name="_Toc61439294"/>
      <w:r>
        <w:rPr>
          <w:rFonts w:hint="eastAsia" w:ascii="仿宋" w:hAnsi="仿宋" w:eastAsia="仿宋"/>
          <w:color w:val="auto"/>
          <w:sz w:val="28"/>
          <w:szCs w:val="28"/>
        </w:rPr>
        <w:t>表</w:t>
      </w:r>
      <w:r>
        <w:rPr>
          <w:rFonts w:ascii="仿宋" w:hAnsi="仿宋" w:eastAsia="仿宋"/>
          <w:color w:val="auto"/>
          <w:sz w:val="28"/>
          <w:szCs w:val="28"/>
        </w:rPr>
        <w:t>二</w:t>
      </w:r>
      <w:r>
        <w:rPr>
          <w:rFonts w:hint="eastAsia" w:ascii="仿宋" w:hAnsi="仿宋" w:eastAsia="仿宋"/>
          <w:color w:val="auto"/>
          <w:sz w:val="28"/>
          <w:szCs w:val="28"/>
        </w:rPr>
        <w:t xml:space="preserve">  工程建设内容、工艺流程及产污环节</w:t>
      </w:r>
      <w:bookmarkEnd w:id="8"/>
    </w:p>
    <w:tbl>
      <w:tblPr>
        <w:tblStyle w:val="38"/>
        <w:tblW w:w="95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702" w:hRule="atLeast"/>
          <w:jc w:val="center"/>
        </w:trPr>
        <w:tc>
          <w:tcPr>
            <w:tcW w:w="9584"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cs="Times New Roman"/>
                <w:b/>
                <w:color w:val="auto"/>
                <w:sz w:val="28"/>
                <w:szCs w:val="28"/>
              </w:rPr>
            </w:pPr>
            <w:r>
              <w:rPr>
                <w:rFonts w:hint="eastAsia" w:ascii="Times New Roman" w:hAnsi="Times New Roman" w:cs="Times New Roman"/>
                <w:b/>
                <w:color w:val="auto"/>
                <w:sz w:val="28"/>
                <w:szCs w:val="28"/>
                <w:lang w:eastAsia="zh-CN"/>
              </w:rPr>
              <w:t>一、</w:t>
            </w:r>
            <w:r>
              <w:rPr>
                <w:rFonts w:hint="eastAsia" w:ascii="Times New Roman" w:hAnsi="Times New Roman" w:cs="Times New Roman"/>
                <w:b/>
                <w:color w:val="auto"/>
                <w:sz w:val="28"/>
                <w:szCs w:val="28"/>
              </w:rPr>
              <w:t>工程</w:t>
            </w:r>
            <w:r>
              <w:rPr>
                <w:rFonts w:ascii="Times New Roman" w:hAnsi="Times New Roman" w:cs="Times New Roman"/>
                <w:b/>
                <w:color w:val="auto"/>
                <w:sz w:val="28"/>
                <w:szCs w:val="28"/>
              </w:rPr>
              <w:t>建设内容：</w:t>
            </w:r>
          </w:p>
          <w:p>
            <w:pPr>
              <w:pStyle w:val="3"/>
              <w:jc w:val="both"/>
              <w:rPr>
                <w:color w:val="auto"/>
                <w:szCs w:val="28"/>
              </w:rPr>
            </w:pPr>
            <w:bookmarkStart w:id="9" w:name="_Toc61439295"/>
            <w:r>
              <w:rPr>
                <w:color w:val="auto"/>
                <w:szCs w:val="28"/>
              </w:rPr>
              <w:t>1</w:t>
            </w:r>
            <w:r>
              <w:rPr>
                <w:rFonts w:hint="eastAsia"/>
                <w:color w:val="auto"/>
                <w:szCs w:val="28"/>
              </w:rPr>
              <w:t xml:space="preserve"> </w:t>
            </w:r>
            <w:r>
              <w:rPr>
                <w:color w:val="auto"/>
                <w:szCs w:val="28"/>
              </w:rPr>
              <w:t xml:space="preserve"> </w:t>
            </w:r>
            <w:r>
              <w:rPr>
                <w:rFonts w:hint="eastAsia"/>
                <w:color w:val="auto"/>
                <w:szCs w:val="28"/>
              </w:rPr>
              <w:t>项目概况</w:t>
            </w:r>
            <w:bookmarkEnd w:id="9"/>
          </w:p>
          <w:p>
            <w:pPr>
              <w:pStyle w:val="28"/>
              <w:spacing w:before="0" w:after="0" w:line="360" w:lineRule="auto"/>
              <w:jc w:val="both"/>
              <w:rPr>
                <w:rFonts w:ascii="Times New Roman" w:hAnsi="Times New Roman"/>
                <w:color w:val="auto"/>
                <w:sz w:val="24"/>
                <w:szCs w:val="24"/>
              </w:rPr>
            </w:pPr>
            <w:bookmarkStart w:id="10" w:name="_Toc61439296"/>
            <w:r>
              <w:rPr>
                <w:rFonts w:ascii="Times New Roman" w:hAnsi="Times New Roman"/>
                <w:color w:val="auto"/>
                <w:sz w:val="24"/>
                <w:szCs w:val="24"/>
              </w:rPr>
              <w:t xml:space="preserve">1.1  </w:t>
            </w:r>
            <w:r>
              <w:rPr>
                <w:rFonts w:hint="eastAsia" w:ascii="Times New Roman" w:hAnsi="Times New Roman"/>
                <w:color w:val="auto"/>
                <w:sz w:val="24"/>
                <w:szCs w:val="24"/>
              </w:rPr>
              <w:t>医院概况</w:t>
            </w:r>
            <w:bookmarkEnd w:id="10"/>
          </w:p>
          <w:p>
            <w:pPr>
              <w:spacing w:line="360" w:lineRule="auto"/>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南京鼓楼医院集团安庆市石化医院前</w:t>
            </w:r>
            <w:r>
              <w:rPr>
                <w:rFonts w:hint="eastAsia" w:asciiTheme="minorEastAsia" w:hAnsiTheme="minorEastAsia" w:eastAsiaTheme="minorEastAsia" w:cstheme="minorEastAsia"/>
                <w:color w:val="auto"/>
                <w:sz w:val="24"/>
                <w:szCs w:val="24"/>
                <w:lang w:val="en-US" w:eastAsia="zh-CN"/>
              </w:rPr>
              <w:t>身</w:t>
            </w:r>
            <w:r>
              <w:rPr>
                <w:rFonts w:hint="eastAsia" w:asciiTheme="minorEastAsia" w:hAnsiTheme="minorEastAsia" w:eastAsiaTheme="minorEastAsia" w:cstheme="minorEastAsia"/>
                <w:color w:val="auto"/>
                <w:sz w:val="24"/>
                <w:szCs w:val="24"/>
                <w:lang w:eastAsia="zh-CN"/>
              </w:rPr>
              <w:t>是安庆石油化工总厂职工医院，19</w:t>
            </w:r>
            <w:r>
              <w:rPr>
                <w:rFonts w:hint="eastAsia" w:asciiTheme="minorEastAsia" w:hAnsiTheme="minorEastAsia" w:eastAsiaTheme="minorEastAsia" w:cstheme="minorEastAsia"/>
                <w:color w:val="auto"/>
                <w:sz w:val="24"/>
                <w:szCs w:val="24"/>
                <w:lang w:val="en-US" w:eastAsia="zh-CN"/>
              </w:rPr>
              <w:t>74</w:t>
            </w:r>
            <w:r>
              <w:rPr>
                <w:rFonts w:hint="eastAsia" w:asciiTheme="minorEastAsia" w:hAnsiTheme="minorEastAsia" w:eastAsiaTheme="minorEastAsia" w:cstheme="minorEastAsia"/>
                <w:color w:val="auto"/>
                <w:sz w:val="24"/>
                <w:szCs w:val="24"/>
                <w:lang w:eastAsia="zh-CN"/>
              </w:rPr>
              <w:t>年成立，2014年由国有控股上市公司南京金陵药业股份有限公司、南京鼓楼医院，以“资金+技术+管理”的模式受让医院97.768%股份，注册</w:t>
            </w:r>
            <w:r>
              <w:rPr>
                <w:rFonts w:hint="eastAsia" w:asciiTheme="minorEastAsia" w:hAnsiTheme="minorEastAsia" w:eastAsiaTheme="minorEastAsia" w:cstheme="minorEastAsia"/>
                <w:color w:val="auto"/>
                <w:sz w:val="24"/>
                <w:szCs w:val="24"/>
                <w:lang w:val="en-US" w:eastAsia="zh-CN"/>
              </w:rPr>
              <w:t>成立</w:t>
            </w:r>
            <w:r>
              <w:rPr>
                <w:rFonts w:hint="eastAsia" w:asciiTheme="minorEastAsia" w:hAnsiTheme="minorEastAsia" w:eastAsiaTheme="minorEastAsia" w:cstheme="minorEastAsia"/>
                <w:color w:val="auto"/>
                <w:sz w:val="24"/>
                <w:szCs w:val="24"/>
                <w:lang w:eastAsia="zh-CN"/>
              </w:rPr>
              <w:t>“南京鼓楼医院集团安庆市石化医院”，是二级甲等综合医院。</w:t>
            </w:r>
          </w:p>
          <w:p>
            <w:pPr>
              <w:spacing w:line="360" w:lineRule="auto"/>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该</w:t>
            </w:r>
            <w:r>
              <w:rPr>
                <w:rFonts w:hint="eastAsia" w:asciiTheme="minorEastAsia" w:hAnsiTheme="minorEastAsia" w:eastAsiaTheme="minorEastAsia" w:cstheme="minorEastAsia"/>
                <w:color w:val="auto"/>
                <w:sz w:val="24"/>
                <w:szCs w:val="24"/>
                <w:lang w:eastAsia="zh-CN"/>
              </w:rPr>
              <w:t>医院设置心血管内科、整形烧伤科、内分泌科、普通外科、神经内科、呼吸内科、感染内科、疼痛科、皮肤科等，</w:t>
            </w:r>
            <w:r>
              <w:rPr>
                <w:rFonts w:hint="eastAsia" w:asciiTheme="minorEastAsia" w:hAnsiTheme="minorEastAsia" w:eastAsiaTheme="minorEastAsia" w:cstheme="minorEastAsia"/>
                <w:color w:val="auto"/>
                <w:sz w:val="24"/>
                <w:szCs w:val="24"/>
                <w:lang w:val="en-US" w:eastAsia="zh-CN"/>
              </w:rPr>
              <w:t>员工总数700余人</w:t>
            </w:r>
            <w:r>
              <w:rPr>
                <w:rFonts w:hint="eastAsia" w:asciiTheme="minorEastAsia" w:hAnsiTheme="minorEastAsia" w:eastAsiaTheme="minorEastAsia" w:cstheme="minorEastAsia"/>
                <w:color w:val="auto"/>
                <w:sz w:val="24"/>
                <w:szCs w:val="24"/>
                <w:lang w:eastAsia="zh-CN"/>
              </w:rPr>
              <w:t>，开放病床</w:t>
            </w:r>
            <w:r>
              <w:rPr>
                <w:rFonts w:hint="eastAsia" w:asciiTheme="minorEastAsia" w:hAnsiTheme="minorEastAsia" w:eastAsiaTheme="minorEastAsia" w:cstheme="minorEastAsia"/>
                <w:color w:val="auto"/>
                <w:sz w:val="24"/>
                <w:szCs w:val="24"/>
                <w:lang w:val="en-US" w:eastAsia="zh-CN"/>
              </w:rPr>
              <w:t>649</w:t>
            </w:r>
            <w:r>
              <w:rPr>
                <w:rFonts w:hint="eastAsia" w:asciiTheme="minorEastAsia" w:hAnsiTheme="minorEastAsia" w:eastAsiaTheme="minorEastAsia" w:cstheme="minorEastAsia"/>
                <w:color w:val="auto"/>
                <w:sz w:val="24"/>
                <w:szCs w:val="24"/>
                <w:lang w:eastAsia="zh-CN"/>
              </w:rPr>
              <w:t>张；</w:t>
            </w:r>
            <w:r>
              <w:rPr>
                <w:rFonts w:hint="eastAsia" w:asciiTheme="minorEastAsia" w:hAnsiTheme="minorEastAsia" w:eastAsiaTheme="minorEastAsia" w:cstheme="minorEastAsia"/>
                <w:color w:val="auto"/>
                <w:sz w:val="24"/>
                <w:szCs w:val="24"/>
                <w:lang w:val="en-US" w:eastAsia="zh-CN"/>
              </w:rPr>
              <w:t>该院脊柱及关节手术、腹腔镜在各学科应用、鼻内镜手术、低温等离子耳鼻咽喉头颈外科应用技术、大面积烧伤治疗、血液净化及造瘘技术、心内科介入手术、神经内科急取栓及支架术等享有较高声誉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拥有1.5Ｔ磁共振、64排CT诊断、四维彩超、大型生化仪、蔡氏S88显微镜、高清电子喉镜+窄带成像内镜+频闪喉镜、高清摄像系统等国内外先进医疗设备。</w:t>
            </w:r>
          </w:p>
          <w:p>
            <w:pPr>
              <w:keepNext w:val="0"/>
              <w:keepLines w:val="0"/>
              <w:pageBreakBefore w:val="0"/>
              <w:widowControl w:val="0"/>
              <w:kinsoku/>
              <w:wordWrap/>
              <w:overflowPunct/>
              <w:topLinePunct w:val="0"/>
              <w:autoSpaceDE/>
              <w:autoSpaceDN/>
              <w:bidi w:val="0"/>
              <w:spacing w:after="0" w:line="360" w:lineRule="auto"/>
              <w:ind w:left="0" w:leftChars="0" w:right="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随着医院发展，为</w:t>
            </w:r>
            <w:r>
              <w:rPr>
                <w:rFonts w:hint="eastAsia" w:asciiTheme="minorEastAsia" w:hAnsiTheme="minorEastAsia" w:eastAsiaTheme="minorEastAsia" w:cstheme="minorEastAsia"/>
                <w:color w:val="auto"/>
                <w:sz w:val="24"/>
                <w:szCs w:val="24"/>
                <w:lang w:eastAsia="zh-CN"/>
              </w:rPr>
              <w:t>了</w:t>
            </w:r>
            <w:r>
              <w:rPr>
                <w:rFonts w:hint="eastAsia" w:asciiTheme="minorEastAsia" w:hAnsiTheme="minorEastAsia" w:eastAsiaTheme="minorEastAsia" w:cstheme="minorEastAsia"/>
                <w:color w:val="auto"/>
                <w:sz w:val="24"/>
                <w:szCs w:val="24"/>
              </w:rPr>
              <w:t>满足当地民众的医疗需求，</w:t>
            </w:r>
            <w:r>
              <w:rPr>
                <w:rFonts w:hint="eastAsia" w:asciiTheme="minorEastAsia" w:hAnsiTheme="minorEastAsia" w:eastAsiaTheme="minorEastAsia" w:cstheme="minorEastAsia"/>
                <w:color w:val="auto"/>
                <w:sz w:val="24"/>
                <w:szCs w:val="24"/>
                <w:lang w:eastAsia="zh-CN"/>
              </w:rPr>
              <w:t>该</w:t>
            </w:r>
            <w:r>
              <w:rPr>
                <w:rFonts w:hint="eastAsia" w:asciiTheme="minorEastAsia" w:hAnsiTheme="minorEastAsia" w:eastAsiaTheme="minorEastAsia" w:cstheme="minorEastAsia"/>
                <w:color w:val="auto"/>
                <w:sz w:val="24"/>
                <w:szCs w:val="24"/>
              </w:rPr>
              <w:t>医院</w:t>
            </w:r>
            <w:r>
              <w:rPr>
                <w:rFonts w:hint="eastAsia" w:asciiTheme="minorEastAsia" w:hAnsiTheme="minorEastAsia" w:eastAsiaTheme="minorEastAsia" w:cstheme="minorEastAsia"/>
                <w:color w:val="auto"/>
                <w:sz w:val="24"/>
                <w:szCs w:val="24"/>
                <w:lang w:eastAsia="zh-CN"/>
              </w:rPr>
              <w:t>在</w:t>
            </w:r>
            <w:r>
              <w:rPr>
                <w:rFonts w:hint="eastAsia" w:asciiTheme="minorEastAsia" w:hAnsiTheme="minorEastAsia" w:eastAsiaTheme="minorEastAsia" w:cstheme="minorEastAsia"/>
                <w:color w:val="auto"/>
                <w:sz w:val="24"/>
                <w:szCs w:val="24"/>
                <w:lang w:val="en-US" w:eastAsia="zh-CN"/>
              </w:rPr>
              <w:t>影像中心一楼</w:t>
            </w:r>
            <w:r>
              <w:rPr>
                <w:rFonts w:hint="eastAsia" w:asciiTheme="minorEastAsia" w:hAnsiTheme="minorEastAsia" w:eastAsiaTheme="minorEastAsia" w:cstheme="minorEastAsia"/>
                <w:color w:val="auto"/>
                <w:sz w:val="24"/>
                <w:szCs w:val="24"/>
                <w:lang w:eastAsia="zh-CN"/>
              </w:rPr>
              <w:t>南侧</w:t>
            </w:r>
            <w:r>
              <w:rPr>
                <w:rFonts w:hint="eastAsia" w:asciiTheme="minorEastAsia" w:hAnsiTheme="minorEastAsia" w:eastAsiaTheme="minorEastAsia" w:cstheme="minorEastAsia"/>
                <w:color w:val="auto"/>
                <w:sz w:val="24"/>
                <w:szCs w:val="24"/>
                <w:lang w:val="en-US" w:eastAsia="zh-CN"/>
              </w:rPr>
              <w:t>建设</w:t>
            </w:r>
            <w:r>
              <w:rPr>
                <w:rFonts w:hint="eastAsia" w:asciiTheme="minorEastAsia" w:hAnsiTheme="minorEastAsia" w:eastAsiaTheme="minorEastAsia" w:cstheme="minorEastAsia"/>
                <w:color w:val="auto"/>
                <w:sz w:val="24"/>
                <w:szCs w:val="24"/>
                <w:lang w:eastAsia="zh-CN"/>
              </w:rPr>
              <w:t>了导管</w:t>
            </w:r>
            <w:r>
              <w:rPr>
                <w:rFonts w:hint="eastAsia" w:asciiTheme="minorEastAsia" w:hAnsiTheme="minorEastAsia" w:eastAsiaTheme="minorEastAsia" w:cstheme="minorEastAsia"/>
                <w:color w:val="auto"/>
                <w:sz w:val="24"/>
                <w:szCs w:val="24"/>
                <w:lang w:val="en-US" w:eastAsia="zh-CN"/>
              </w:rPr>
              <w:t>室</w:t>
            </w:r>
            <w:r>
              <w:rPr>
                <w:rFonts w:hint="eastAsia" w:asciiTheme="minorEastAsia" w:hAnsiTheme="minorEastAsia" w:eastAsiaTheme="minorEastAsia" w:cstheme="minorEastAsia"/>
                <w:color w:val="auto"/>
                <w:sz w:val="24"/>
                <w:szCs w:val="24"/>
                <w:lang w:eastAsia="zh-CN"/>
              </w:rPr>
              <w:t>，安装</w:t>
            </w:r>
            <w:r>
              <w:rPr>
                <w:rFonts w:hint="eastAsia" w:asciiTheme="minorEastAsia" w:hAnsiTheme="minorEastAsia" w:eastAsiaTheme="minorEastAsia" w:cstheme="minorEastAsia"/>
                <w:color w:val="auto"/>
                <w:sz w:val="24"/>
                <w:szCs w:val="24"/>
                <w:lang w:val="en-US" w:eastAsia="zh-CN"/>
              </w:rPr>
              <w:t>DSA设备1台，</w:t>
            </w:r>
            <w:r>
              <w:rPr>
                <w:rFonts w:hint="eastAsia" w:asciiTheme="minorEastAsia" w:hAnsiTheme="minorEastAsia" w:eastAsiaTheme="minorEastAsia" w:cstheme="minorEastAsia"/>
                <w:color w:val="auto"/>
                <w:sz w:val="24"/>
                <w:szCs w:val="24"/>
                <w:lang w:eastAsia="zh-CN"/>
              </w:rPr>
              <w:t>主要用于心血管等介入治疗。</w:t>
            </w:r>
            <w:r>
              <w:rPr>
                <w:rFonts w:hint="eastAsia" w:asciiTheme="minorEastAsia" w:hAnsiTheme="minorEastAsia" w:eastAsiaTheme="minorEastAsia" w:cstheme="minorEastAsia"/>
                <w:color w:val="auto"/>
                <w:sz w:val="24"/>
                <w:szCs w:val="24"/>
                <w:lang w:eastAsia="zh-CN"/>
              </w:rPr>
              <w:t>该设备于</w:t>
            </w:r>
            <w:r>
              <w:rPr>
                <w:rFonts w:hint="eastAsia" w:asciiTheme="minorEastAsia" w:hAnsiTheme="minorEastAsia" w:eastAsiaTheme="minorEastAsia" w:cstheme="minorEastAsia"/>
                <w:color w:val="auto"/>
                <w:sz w:val="24"/>
                <w:szCs w:val="24"/>
                <w:lang w:val="en-US" w:eastAsia="zh-CN"/>
              </w:rPr>
              <w:t>2013年3月购置、2014年7月安装完毕；本项目属于未批先建，安庆市大观区生态环境分局</w:t>
            </w:r>
            <w:r>
              <w:rPr>
                <w:rFonts w:hint="eastAsia" w:asciiTheme="minorEastAsia" w:hAnsiTheme="minorEastAsia" w:eastAsiaTheme="minorEastAsia" w:cstheme="minorEastAsia"/>
                <w:color w:val="auto"/>
                <w:sz w:val="24"/>
                <w:szCs w:val="24"/>
                <w:lang w:eastAsia="zh-CN"/>
              </w:rPr>
              <w:t>于20</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lang w:eastAsia="zh-CN"/>
              </w:rPr>
              <w:t>年</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22</w:t>
            </w:r>
            <w:r>
              <w:rPr>
                <w:rFonts w:hint="eastAsia" w:asciiTheme="minorEastAsia" w:hAnsiTheme="minorEastAsia" w:eastAsiaTheme="minorEastAsia" w:cstheme="minorEastAsia"/>
                <w:color w:val="auto"/>
                <w:sz w:val="24"/>
                <w:szCs w:val="24"/>
                <w:lang w:eastAsia="zh-CN"/>
              </w:rPr>
              <w:t>日对南京鼓楼医院集团安庆市石化医</w:t>
            </w:r>
            <w:r>
              <w:rPr>
                <w:rFonts w:hint="eastAsia" w:asciiTheme="minorEastAsia" w:hAnsiTheme="minorEastAsia" w:eastAsiaTheme="minorEastAsia" w:cstheme="minorEastAsia"/>
                <w:color w:val="auto"/>
                <w:sz w:val="24"/>
                <w:szCs w:val="24"/>
                <w:lang w:val="en-US" w:eastAsia="zh-CN"/>
              </w:rPr>
              <w:t>院</w:t>
            </w:r>
            <w:r>
              <w:rPr>
                <w:rFonts w:hint="eastAsia" w:asciiTheme="minorEastAsia" w:hAnsiTheme="minorEastAsia" w:eastAsiaTheme="minorEastAsia" w:cstheme="minorEastAsia"/>
                <w:color w:val="auto"/>
                <w:sz w:val="24"/>
                <w:szCs w:val="24"/>
                <w:lang w:eastAsia="zh-CN"/>
              </w:rPr>
              <w:t>下达了《</w:t>
            </w:r>
            <w:r>
              <w:rPr>
                <w:rFonts w:hint="eastAsia" w:asciiTheme="minorEastAsia" w:hAnsiTheme="minorEastAsia" w:eastAsiaTheme="minorEastAsia" w:cstheme="minorEastAsia"/>
                <w:color w:val="auto"/>
                <w:sz w:val="24"/>
                <w:szCs w:val="24"/>
                <w:lang w:val="en-US" w:eastAsia="zh-CN"/>
              </w:rPr>
              <w:t>关于对</w:t>
            </w:r>
            <w:r>
              <w:rPr>
                <w:rFonts w:hint="eastAsia" w:asciiTheme="minorEastAsia" w:hAnsiTheme="minorEastAsia" w:eastAsiaTheme="minorEastAsia" w:cstheme="minorEastAsia"/>
                <w:color w:val="auto"/>
                <w:sz w:val="24"/>
                <w:szCs w:val="24"/>
                <w:lang w:eastAsia="zh-CN"/>
              </w:rPr>
              <w:t>南京鼓楼医院集团安庆市石化医院</w:t>
            </w:r>
            <w:r>
              <w:rPr>
                <w:rFonts w:hint="eastAsia" w:asciiTheme="minorEastAsia" w:hAnsiTheme="minorEastAsia" w:eastAsiaTheme="minorEastAsia" w:cstheme="minorEastAsia"/>
                <w:color w:val="auto"/>
                <w:sz w:val="24"/>
                <w:szCs w:val="24"/>
                <w:lang w:val="en-US" w:eastAsia="zh-CN"/>
              </w:rPr>
              <w:t>的环境监察通知书</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观环察函[2021]]1号</w:t>
            </w:r>
            <w:r>
              <w:rPr>
                <w:rFonts w:hint="eastAsia" w:asciiTheme="minorEastAsia" w:hAnsiTheme="minorEastAsia" w:eastAsiaTheme="minorEastAsia" w:cstheme="minorEastAsia"/>
                <w:color w:val="auto"/>
                <w:sz w:val="24"/>
                <w:szCs w:val="24"/>
                <w:lang w:eastAsia="zh-CN"/>
              </w:rPr>
              <w:t>）（附件</w:t>
            </w: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环境监察通知书</w:t>
            </w:r>
            <w:r>
              <w:rPr>
                <w:rFonts w:hint="eastAsia" w:asciiTheme="minorEastAsia" w:hAnsiTheme="minorEastAsia" w:eastAsiaTheme="minorEastAsia" w:cstheme="minorEastAsia"/>
                <w:color w:val="auto"/>
                <w:sz w:val="24"/>
                <w:szCs w:val="24"/>
                <w:lang w:eastAsia="zh-CN"/>
              </w:rPr>
              <w:t>），对医院</w:t>
            </w:r>
            <w:r>
              <w:rPr>
                <w:rFonts w:hint="eastAsia" w:asciiTheme="minorEastAsia" w:hAnsiTheme="minorEastAsia" w:eastAsiaTheme="minorEastAsia" w:cstheme="minorEastAsia"/>
                <w:color w:val="auto"/>
                <w:sz w:val="24"/>
                <w:szCs w:val="24"/>
                <w:lang w:val="en-US" w:eastAsia="zh-CN"/>
              </w:rPr>
              <w:t>存在的问题</w:t>
            </w:r>
            <w:r>
              <w:rPr>
                <w:rFonts w:hint="eastAsia" w:asciiTheme="minorEastAsia" w:hAnsiTheme="minorEastAsia" w:eastAsiaTheme="minorEastAsia" w:cstheme="minorEastAsia"/>
                <w:color w:val="auto"/>
                <w:sz w:val="24"/>
                <w:szCs w:val="24"/>
                <w:lang w:eastAsia="zh-CN"/>
              </w:rPr>
              <w:t>责令改正，</w:t>
            </w:r>
            <w:r>
              <w:rPr>
                <w:rFonts w:hint="eastAsia" w:asciiTheme="minorEastAsia" w:hAnsiTheme="minorEastAsia" w:eastAsiaTheme="minorEastAsia" w:cstheme="minorEastAsia"/>
                <w:color w:val="auto"/>
                <w:sz w:val="24"/>
                <w:szCs w:val="24"/>
                <w:lang w:val="en-US" w:eastAsia="zh-CN"/>
              </w:rPr>
              <w:t>本院按监察要求进行了整改，</w:t>
            </w:r>
            <w:r>
              <w:rPr>
                <w:rFonts w:hint="eastAsia" w:asciiTheme="minorEastAsia" w:hAnsiTheme="minorEastAsia" w:eastAsiaTheme="minorEastAsia" w:cstheme="minorEastAsia"/>
                <w:color w:val="auto"/>
                <w:sz w:val="24"/>
                <w:szCs w:val="24"/>
                <w:lang w:val="en-US" w:eastAsia="zh-CN"/>
              </w:rPr>
              <w:t>2020年12月29日委托</w:t>
            </w:r>
            <w:r>
              <w:rPr>
                <w:rFonts w:hint="eastAsia" w:asciiTheme="minorEastAsia" w:hAnsiTheme="minorEastAsia" w:eastAsiaTheme="minorEastAsia" w:cstheme="minorEastAsia"/>
                <w:color w:val="auto"/>
                <w:sz w:val="24"/>
                <w:szCs w:val="24"/>
              </w:rPr>
              <w:t>安徽</w:t>
            </w:r>
            <w:r>
              <w:rPr>
                <w:rFonts w:hint="eastAsia" w:asciiTheme="minorEastAsia" w:hAnsiTheme="minorEastAsia" w:eastAsiaTheme="minorEastAsia" w:cstheme="minorEastAsia"/>
                <w:color w:val="auto"/>
                <w:sz w:val="24"/>
                <w:szCs w:val="24"/>
                <w:lang w:eastAsia="zh-CN"/>
              </w:rPr>
              <w:t>三的环境科技</w:t>
            </w:r>
            <w:r>
              <w:rPr>
                <w:rFonts w:hint="eastAsia" w:asciiTheme="minorEastAsia" w:hAnsiTheme="minorEastAsia" w:eastAsiaTheme="minorEastAsia" w:cstheme="minorEastAsia"/>
                <w:color w:val="auto"/>
                <w:sz w:val="24"/>
                <w:szCs w:val="24"/>
              </w:rPr>
              <w:t>有限公司对</w:t>
            </w:r>
            <w:r>
              <w:rPr>
                <w:rFonts w:hint="eastAsia" w:asciiTheme="minorEastAsia" w:hAnsiTheme="minorEastAsia" w:eastAsiaTheme="minorEastAsia" w:cstheme="minorEastAsia"/>
                <w:color w:val="auto"/>
                <w:sz w:val="24"/>
                <w:szCs w:val="24"/>
                <w:lang w:val="en-US" w:eastAsia="zh-CN"/>
              </w:rPr>
              <w:t>安庆市石化医院DSA项目</w:t>
            </w:r>
            <w:r>
              <w:rPr>
                <w:rFonts w:hint="eastAsia" w:asciiTheme="minorEastAsia" w:hAnsiTheme="minorEastAsia" w:eastAsiaTheme="minorEastAsia" w:cstheme="minorEastAsia"/>
                <w:color w:val="auto"/>
                <w:sz w:val="24"/>
                <w:szCs w:val="24"/>
              </w:rPr>
              <w:t>开展环境影响评价工作</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于2021年5月28日获得了安庆市生态环境局的批复，批复文号：宜环建函〔2021〕18号；</w:t>
            </w:r>
            <w:r>
              <w:rPr>
                <w:rFonts w:hint="eastAsia" w:asciiTheme="minorEastAsia" w:hAnsiTheme="minorEastAsia" w:eastAsiaTheme="minorEastAsia" w:cstheme="minorEastAsia"/>
                <w:color w:val="auto"/>
                <w:sz w:val="24"/>
                <w:szCs w:val="24"/>
                <w:lang w:eastAsia="zh-CN"/>
              </w:rPr>
              <w:t>20</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lang w:eastAsia="zh-CN"/>
              </w:rPr>
              <w:t>年</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lang w:eastAsia="zh-CN"/>
              </w:rPr>
              <w:t>日取得了</w:t>
            </w:r>
            <w:r>
              <w:rPr>
                <w:rFonts w:hint="eastAsia" w:asciiTheme="minorEastAsia" w:hAnsiTheme="minorEastAsia" w:eastAsiaTheme="minorEastAsia" w:cstheme="minorEastAsia"/>
                <w:color w:val="auto"/>
                <w:sz w:val="24"/>
                <w:szCs w:val="24"/>
                <w:lang w:val="en-US" w:eastAsia="zh-CN"/>
              </w:rPr>
              <w:t>安徽省生态环境厅</w:t>
            </w:r>
            <w:r>
              <w:rPr>
                <w:rFonts w:hint="eastAsia" w:asciiTheme="minorEastAsia" w:hAnsiTheme="minorEastAsia" w:eastAsiaTheme="minorEastAsia" w:cstheme="minorEastAsia"/>
                <w:color w:val="auto"/>
                <w:sz w:val="24"/>
                <w:szCs w:val="24"/>
                <w:lang w:eastAsia="zh-CN"/>
              </w:rPr>
              <w:t>核发的辐射安全许可证，证书编号：皖环辐证[</w:t>
            </w:r>
            <w:r>
              <w:rPr>
                <w:rFonts w:hint="eastAsia" w:asciiTheme="minorEastAsia" w:hAnsiTheme="minorEastAsia" w:eastAsiaTheme="minorEastAsia" w:cstheme="minorEastAsia"/>
                <w:color w:val="auto"/>
                <w:sz w:val="24"/>
                <w:szCs w:val="24"/>
                <w:lang w:val="en-US" w:eastAsia="zh-CN"/>
              </w:rPr>
              <w:t>02016</w:t>
            </w:r>
            <w:r>
              <w:rPr>
                <w:rFonts w:hint="eastAsia" w:asciiTheme="minorEastAsia" w:hAnsiTheme="minorEastAsia" w:eastAsiaTheme="minorEastAsia" w:cstheme="minorEastAsia"/>
                <w:color w:val="auto"/>
                <w:sz w:val="24"/>
                <w:szCs w:val="24"/>
                <w:lang w:eastAsia="zh-CN"/>
              </w:rPr>
              <w:t>]，许可使用Ⅱ类、Ⅲ类射线装置</w:t>
            </w:r>
            <w:r>
              <w:rPr>
                <w:rFonts w:hint="eastAsia" w:asciiTheme="minorEastAsia" w:hAnsiTheme="minorEastAsia" w:eastAsiaTheme="minorEastAsia" w:cstheme="minorEastAsia"/>
                <w:color w:val="auto"/>
                <w:sz w:val="24"/>
                <w:szCs w:val="24"/>
                <w:lang w:val="en-US" w:eastAsia="zh-CN"/>
              </w:rPr>
              <w:t>。</w:t>
            </w:r>
          </w:p>
          <w:p>
            <w:pPr>
              <w:widowControl w:val="0"/>
              <w:spacing w:line="360" w:lineRule="auto"/>
              <w:ind w:firstLine="480" w:firstLineChars="200"/>
              <w:jc w:val="both"/>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根据《中华人民共和国环境保护法》、《中华人民共和国放射性污染防治法》、《放射性同位素与射线装置安全和防护条例》、《建设项目竣工环境保护验收暂行办法》和《放射性同位素与射线装置安全许可管理办法》等法律法规的规定，委托安徽显闰环境工程有限公司进行验收报告编制工作。安徽显闰环境工程有限公司对该公司验收项目的使用情况和环保措施落实情况进行了现场检查，并以此为基础编制了本验收报告表。</w:t>
            </w:r>
          </w:p>
          <w:p>
            <w:pPr>
              <w:widowControl w:val="0"/>
              <w:spacing w:line="360" w:lineRule="auto"/>
              <w:ind w:firstLine="480" w:firstLineChars="200"/>
              <w:jc w:val="both"/>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本次验收范围为影像中心一楼南侧导管室DSA设备辐射影响及非辐射影响，重点是DSA设备辐射影响，对非辐射影响污染防治措施进行核实</w:t>
            </w:r>
            <w:r>
              <w:rPr>
                <w:rFonts w:hint="eastAsia" w:asciiTheme="minorEastAsia" w:hAnsiTheme="minorEastAsia" w:eastAsiaTheme="minorEastAsia" w:cstheme="minorEastAsia"/>
                <w:color w:val="auto"/>
                <w:kern w:val="0"/>
                <w:sz w:val="24"/>
                <w:szCs w:val="24"/>
                <w:lang w:val="en-US" w:eastAsia="zh-CN" w:bidi="ar"/>
              </w:rPr>
              <w:t>。</w:t>
            </w:r>
          </w:p>
          <w:p>
            <w:pPr>
              <w:pStyle w:val="28"/>
              <w:spacing w:before="60" w:line="360" w:lineRule="auto"/>
              <w:jc w:val="both"/>
              <w:rPr>
                <w:rFonts w:hint="eastAsia" w:asciiTheme="minorEastAsia" w:hAnsiTheme="minorEastAsia" w:eastAsiaTheme="minorEastAsia" w:cstheme="minorEastAsia"/>
                <w:color w:val="auto"/>
                <w:sz w:val="24"/>
                <w:szCs w:val="24"/>
              </w:rPr>
            </w:pPr>
            <w:bookmarkStart w:id="11" w:name="_Toc61439297"/>
            <w:r>
              <w:rPr>
                <w:rFonts w:hint="eastAsia" w:asciiTheme="minorEastAsia" w:hAnsiTheme="minorEastAsia" w:eastAsiaTheme="minorEastAsia" w:cstheme="minorEastAsia"/>
                <w:color w:val="auto"/>
                <w:sz w:val="24"/>
                <w:szCs w:val="24"/>
              </w:rPr>
              <w:t>1.2  医院现有核技术利用情况</w:t>
            </w:r>
            <w:bookmarkEnd w:id="11"/>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1"/>
                <w:szCs w:val="21"/>
                <w:lang w:val="en-US" w:eastAsia="zh-CN" w:bidi="ar"/>
              </w:rPr>
            </w:pPr>
            <w:r>
              <w:rPr>
                <w:rFonts w:hint="default" w:asciiTheme="minorEastAsia" w:hAnsiTheme="minorEastAsia" w:eastAsiaTheme="minorEastAsia" w:cstheme="minorEastAsia"/>
                <w:color w:val="auto"/>
                <w:kern w:val="0"/>
                <w:sz w:val="24"/>
                <w:szCs w:val="24"/>
                <w:lang w:val="en-US" w:eastAsia="zh-CN" w:bidi="ar"/>
              </w:rPr>
              <w:t>南京鼓楼医院集团安庆市石化医院在用的Ⅲ类射线装置分别为：64排CT和16排CT各1台，DR机2台，C形臂机1台，数字胃肠机1台，乳腺钼靶机1台，骨密度仪1台，共8台；Ⅲ类射线装置均在安徽省生态环境厅建设项目环境影响评价登记系统填报了《建设项目环境影响登记表》，对Ⅲ类射线装置进行了备案（具体见附件</w:t>
            </w:r>
            <w:r>
              <w:rPr>
                <w:rFonts w:hint="eastAsia" w:asciiTheme="minorEastAsia" w:hAnsiTheme="minorEastAsia" w:eastAsiaTheme="minorEastAsia" w:cstheme="minorEastAsia"/>
                <w:color w:val="auto"/>
                <w:kern w:val="0"/>
                <w:sz w:val="24"/>
                <w:szCs w:val="24"/>
                <w:lang w:val="en-US" w:eastAsia="zh-CN" w:bidi="ar"/>
              </w:rPr>
              <w:t>9：原核技术应用项目登记表</w:t>
            </w:r>
            <w:r>
              <w:rPr>
                <w:rFonts w:hint="default" w:asciiTheme="minorEastAsia" w:hAnsiTheme="minorEastAsia" w:eastAsia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本次验收的是</w:t>
            </w:r>
            <w:r>
              <w:rPr>
                <w:rFonts w:hint="default" w:asciiTheme="minorEastAsia" w:hAnsiTheme="minorEastAsia" w:eastAsiaTheme="minorEastAsia" w:cstheme="minorEastAsia"/>
                <w:color w:val="auto"/>
                <w:kern w:val="0"/>
                <w:sz w:val="24"/>
                <w:szCs w:val="24"/>
                <w:lang w:val="en-US" w:eastAsia="zh-CN" w:bidi="ar"/>
              </w:rPr>
              <w:t>南京鼓楼医院集团安庆市石化医院</w:t>
            </w:r>
            <w:r>
              <w:rPr>
                <w:rFonts w:hint="eastAsia" w:asciiTheme="minorEastAsia" w:hAnsiTheme="minorEastAsia" w:eastAsiaTheme="minorEastAsia" w:cstheme="minorEastAsia"/>
                <w:color w:val="auto"/>
                <w:kern w:val="0"/>
                <w:sz w:val="24"/>
                <w:szCs w:val="24"/>
                <w:lang w:val="en-US" w:eastAsia="zh-CN" w:bidi="ar"/>
              </w:rPr>
              <w:t>DSA一台（</w:t>
            </w:r>
            <w:r>
              <w:rPr>
                <w:rFonts w:hint="default" w:asciiTheme="minorEastAsia" w:hAnsiTheme="minorEastAsia" w:eastAsiaTheme="minorEastAsia" w:cstheme="minorEastAsia"/>
                <w:color w:val="auto"/>
                <w:kern w:val="0"/>
                <w:sz w:val="24"/>
                <w:szCs w:val="24"/>
                <w:lang w:val="en-US" w:eastAsia="zh-CN" w:bidi="ar"/>
              </w:rPr>
              <w:t>Ⅱ</w:t>
            </w:r>
            <w:r>
              <w:rPr>
                <w:rFonts w:hint="eastAsia" w:asciiTheme="minorEastAsia" w:hAnsiTheme="minorEastAsia" w:eastAsiaTheme="minorEastAsia" w:cstheme="minorEastAsia"/>
                <w:color w:val="auto"/>
                <w:kern w:val="0"/>
                <w:sz w:val="24"/>
                <w:szCs w:val="24"/>
                <w:lang w:val="en-US" w:eastAsia="zh-CN" w:bidi="ar"/>
              </w:rPr>
              <w:t>类射线装置）。</w:t>
            </w:r>
            <w:r>
              <w:rPr>
                <w:rFonts w:hint="default" w:asciiTheme="minorEastAsia" w:hAnsiTheme="minorEastAsia" w:eastAsiaTheme="minorEastAsia" w:cstheme="minorEastAsia"/>
                <w:color w:val="auto"/>
                <w:kern w:val="0"/>
                <w:sz w:val="24"/>
                <w:szCs w:val="24"/>
                <w:lang w:val="en-US" w:eastAsia="zh-CN" w:bidi="ar"/>
              </w:rPr>
              <w:t>该医院于2021年9月8日向安徽省生态环境厅申请核发了辐射安全许可证（皖环辐证[02016]），许可种类和范围为使用Ⅱ类、Ⅲ类射线装置（具体见附件</w:t>
            </w:r>
            <w:r>
              <w:rPr>
                <w:rFonts w:hint="eastAsia" w:asciiTheme="minorEastAsia" w:hAnsiTheme="minorEastAsia" w:eastAsiaTheme="minorEastAsia" w:cstheme="minorEastAsia"/>
                <w:color w:val="auto"/>
                <w:kern w:val="0"/>
                <w:sz w:val="24"/>
                <w:szCs w:val="24"/>
                <w:lang w:val="en-US" w:eastAsia="zh-CN" w:bidi="ar"/>
              </w:rPr>
              <w:t>10</w:t>
            </w:r>
            <w:r>
              <w:rPr>
                <w:rFonts w:hint="default" w:asciiTheme="minorEastAsia" w:hAnsiTheme="minorEastAsia" w:eastAsiaTheme="minorEastAsia" w:cstheme="minorEastAsia"/>
                <w:color w:val="auto"/>
                <w:kern w:val="0"/>
                <w:sz w:val="24"/>
                <w:szCs w:val="24"/>
                <w:lang w:val="en-US" w:eastAsia="zh-CN" w:bidi="ar"/>
              </w:rPr>
              <w:t>）</w:t>
            </w:r>
            <w:r>
              <w:rPr>
                <w:rFonts w:hint="default" w:ascii="Times New Roman" w:hAnsi="Times New Roman" w:eastAsia="宋体" w:cs="Times New Roman"/>
                <w:color w:val="auto"/>
                <w:kern w:val="0"/>
                <w:sz w:val="21"/>
                <w:szCs w:val="21"/>
                <w:lang w:val="en-US" w:eastAsia="zh-CN" w:bidi="ar"/>
              </w:rPr>
              <w:t>。</w:t>
            </w:r>
          </w:p>
          <w:p>
            <w:pPr>
              <w:numPr>
                <w:ilvl w:val="0"/>
                <w:numId w:val="0"/>
              </w:numPr>
              <w:ind w:left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2-1</w:t>
            </w:r>
            <w:r>
              <w:rPr>
                <w:rFonts w:hint="default" w:ascii="Times New Roman" w:hAnsi="Times New Roman" w:eastAsia="宋体" w:cs="Times New Roman"/>
                <w:b/>
                <w:color w:val="auto"/>
                <w:szCs w:val="21"/>
              </w:rPr>
              <w:t xml:space="preserve">  </w:t>
            </w:r>
            <w:r>
              <w:rPr>
                <w:rFonts w:hint="default" w:ascii="Times New Roman" w:hAnsi="Times New Roman" w:eastAsia="宋体" w:cs="Times New Roman"/>
                <w:b/>
                <w:color w:val="auto"/>
                <w:szCs w:val="21"/>
                <w:lang w:val="en-US" w:eastAsia="zh-CN"/>
              </w:rPr>
              <w:t>南京鼓楼医院集团安庆市石化医院</w:t>
            </w:r>
            <w:r>
              <w:rPr>
                <w:rFonts w:hint="default" w:ascii="Times New Roman" w:hAnsi="Times New Roman" w:eastAsia="宋体" w:cs="Times New Roman"/>
                <w:b/>
                <w:color w:val="auto"/>
                <w:szCs w:val="21"/>
                <w:lang w:eastAsia="zh-CN"/>
              </w:rPr>
              <w:t>现状</w:t>
            </w:r>
            <w:r>
              <w:rPr>
                <w:rFonts w:hint="default" w:ascii="Times New Roman" w:hAnsi="Times New Roman" w:eastAsia="宋体" w:cs="Times New Roman"/>
                <w:b/>
                <w:color w:val="auto"/>
                <w:szCs w:val="21"/>
              </w:rPr>
              <w:t>使用的X射线装置一览表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738"/>
              <w:gridCol w:w="983"/>
              <w:gridCol w:w="962"/>
              <w:gridCol w:w="951"/>
              <w:gridCol w:w="534"/>
              <w:gridCol w:w="951"/>
              <w:gridCol w:w="1143"/>
              <w:gridCol w:w="1283"/>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序号</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装置名称</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型号</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管电压（kV）</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管电流（mA）</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类别</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lang w:eastAsia="zh-CN"/>
                    </w:rPr>
                    <w:t>环评时间</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lang w:val="en-US" w:eastAsia="zh-CN"/>
                    </w:rPr>
                    <w:t>验收及备案情况</w:t>
                  </w:r>
                </w:p>
              </w:tc>
              <w:tc>
                <w:tcPr>
                  <w:tcW w:w="685" w:type="pct"/>
                  <w:vAlign w:val="center"/>
                </w:tcPr>
                <w:p>
                  <w:pPr>
                    <w:widowControl w:val="0"/>
                    <w:spacing w:before="93" w:beforeLines="30" w:line="0" w:lineRule="atLeas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使用场所</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备</w:t>
                  </w:r>
                  <w:r>
                    <w:rPr>
                      <w:rFonts w:hint="eastAsia" w:ascii="宋体" w:hAnsi="宋体" w:eastAsia="宋体" w:cs="宋体"/>
                      <w:b/>
                      <w:color w:val="auto"/>
                      <w:sz w:val="21"/>
                      <w:szCs w:val="21"/>
                      <w:lang w:eastAsia="zh-CN"/>
                    </w:rPr>
                    <w:t>案号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64排CT</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Brilliance 64</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140</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800</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Ⅲ</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2020.12.15</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已备案</w:t>
                  </w:r>
                </w:p>
              </w:tc>
              <w:tc>
                <w:tcPr>
                  <w:tcW w:w="685" w:type="pct"/>
                  <w:vAlign w:val="center"/>
                </w:tcPr>
                <w:p>
                  <w:pPr>
                    <w:widowControl w:val="0"/>
                    <w:spacing w:before="93" w:beforeLines="30" w:line="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放射科</w:t>
                  </w:r>
                  <w:r>
                    <w:rPr>
                      <w:rFonts w:hint="eastAsia" w:ascii="宋体" w:hAnsi="宋体" w:eastAsia="宋体" w:cs="宋体"/>
                      <w:color w:val="auto"/>
                      <w:sz w:val="21"/>
                      <w:szCs w:val="21"/>
                      <w:lang w:val="en-US" w:eastAsia="zh-CN"/>
                    </w:rPr>
                    <w:t>1楼</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202034080300000079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DR</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XS-1D</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Ⅲ</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2020.12.15</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已备案</w:t>
                  </w:r>
                </w:p>
              </w:tc>
              <w:tc>
                <w:tcPr>
                  <w:tcW w:w="685" w:type="pct"/>
                  <w:vAlign w:val="center"/>
                </w:tcPr>
                <w:p>
                  <w:pPr>
                    <w:widowControl w:val="0"/>
                    <w:spacing w:before="93" w:beforeLines="30" w:line="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放射科</w:t>
                  </w:r>
                  <w:r>
                    <w:rPr>
                      <w:rFonts w:hint="eastAsia" w:ascii="宋体" w:hAnsi="宋体" w:eastAsia="宋体" w:cs="宋体"/>
                      <w:color w:val="auto"/>
                      <w:sz w:val="21"/>
                      <w:szCs w:val="21"/>
                      <w:lang w:val="en-US" w:eastAsia="zh-CN"/>
                    </w:rPr>
                    <w:t>1楼2号机房</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202034080300000075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C形臂机</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siremobil compact L</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110</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150</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Ⅲ</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2020.12.15</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已备案</w:t>
                  </w:r>
                </w:p>
              </w:tc>
              <w:tc>
                <w:tcPr>
                  <w:tcW w:w="6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第八手术室</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202034080300000076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4</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数字胃肠机</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岛津·DX</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800</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Ⅲ</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2020.12.15</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已备案</w:t>
                  </w:r>
                </w:p>
              </w:tc>
              <w:tc>
                <w:tcPr>
                  <w:tcW w:w="685" w:type="pct"/>
                  <w:vAlign w:val="center"/>
                </w:tcPr>
                <w:p>
                  <w:pPr>
                    <w:widowControl w:val="0"/>
                    <w:spacing w:before="93" w:beforeLines="30" w:line="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放射科</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202034080300000078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5</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乳腺钼靶机</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MAWK-2MS</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72</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Ⅲ</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2020.12.15</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已备案</w:t>
                  </w:r>
                </w:p>
              </w:tc>
              <w:tc>
                <w:tcPr>
                  <w:tcW w:w="685" w:type="pct"/>
                  <w:vAlign w:val="center"/>
                </w:tcPr>
                <w:p>
                  <w:pPr>
                    <w:widowControl w:val="0"/>
                    <w:spacing w:before="93" w:beforeLines="30" w:line="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放射科</w:t>
                  </w:r>
                  <w:r>
                    <w:rPr>
                      <w:rFonts w:hint="eastAsia" w:ascii="宋体" w:hAnsi="宋体" w:eastAsia="宋体" w:cs="宋体"/>
                      <w:color w:val="auto"/>
                      <w:sz w:val="21"/>
                      <w:szCs w:val="21"/>
                      <w:lang w:val="en-US" w:eastAsia="zh-CN"/>
                    </w:rPr>
                    <w:t>1楼4号机房</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202034080300000077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6</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DR</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MXHF-1500DR</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150</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630</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Ⅲ</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2020.12.15</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已备案</w:t>
                  </w:r>
                </w:p>
              </w:tc>
              <w:tc>
                <w:tcPr>
                  <w:tcW w:w="685" w:type="pct"/>
                  <w:vAlign w:val="center"/>
                </w:tcPr>
                <w:p>
                  <w:pPr>
                    <w:widowControl w:val="0"/>
                    <w:spacing w:before="93" w:beforeLines="30" w:line="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放射科</w:t>
                  </w:r>
                  <w:r>
                    <w:rPr>
                      <w:rFonts w:hint="eastAsia" w:ascii="宋体" w:hAnsi="宋体" w:eastAsia="宋体" w:cs="宋体"/>
                      <w:color w:val="auto"/>
                      <w:sz w:val="21"/>
                      <w:szCs w:val="21"/>
                      <w:lang w:val="en-US" w:eastAsia="zh-CN"/>
                    </w:rPr>
                    <w:t>1楼1号机房</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202034080300000080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16排CT</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NeuViz  16 Clacsic</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140</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233</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Ⅲ</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2020.11.27</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已备案</w:t>
                  </w:r>
                </w:p>
              </w:tc>
              <w:tc>
                <w:tcPr>
                  <w:tcW w:w="685" w:type="pct"/>
                  <w:vAlign w:val="center"/>
                </w:tcPr>
                <w:p>
                  <w:pPr>
                    <w:widowControl w:val="0"/>
                    <w:spacing w:before="93" w:beforeLines="30" w:line="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放射科</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202034080300000068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骨密度仪</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AKDX-09W-I</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Ⅲ</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2021.1.26</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已备案</w:t>
                  </w:r>
                </w:p>
              </w:tc>
              <w:tc>
                <w:tcPr>
                  <w:tcW w:w="6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预防保健科</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202134080300000002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w:t>
                  </w:r>
                </w:p>
              </w:tc>
              <w:tc>
                <w:tcPr>
                  <w:tcW w:w="39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DSA</w:t>
                  </w:r>
                </w:p>
              </w:tc>
              <w:tc>
                <w:tcPr>
                  <w:tcW w:w="52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Innova-3100-IQ</w:t>
                  </w:r>
                </w:p>
              </w:tc>
              <w:tc>
                <w:tcPr>
                  <w:tcW w:w="514"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150</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1000</w:t>
                  </w:r>
                </w:p>
              </w:tc>
              <w:tc>
                <w:tcPr>
                  <w:tcW w:w="285"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eastAsia="zh-CN"/>
                    </w:rPr>
                    <w:t>Ⅱ</w:t>
                  </w:r>
                </w:p>
              </w:tc>
              <w:tc>
                <w:tcPr>
                  <w:tcW w:w="508"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2021.5.28</w:t>
                  </w:r>
                </w:p>
              </w:tc>
              <w:tc>
                <w:tcPr>
                  <w:tcW w:w="610"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本次验收</w:t>
                  </w:r>
                </w:p>
              </w:tc>
              <w:tc>
                <w:tcPr>
                  <w:tcW w:w="685" w:type="pct"/>
                  <w:vAlign w:val="center"/>
                </w:tcPr>
                <w:p>
                  <w:pPr>
                    <w:widowControl w:val="0"/>
                    <w:spacing w:before="93" w:beforeLines="30" w:line="0" w:lineRule="atLeast"/>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影像中心一楼南侧导管室</w:t>
                  </w:r>
                </w:p>
              </w:tc>
              <w:tc>
                <w:tcPr>
                  <w:tcW w:w="731" w:type="pct"/>
                  <w:vAlign w:val="center"/>
                </w:tcPr>
                <w:p>
                  <w:pPr>
                    <w:widowControl w:val="0"/>
                    <w:spacing w:before="93" w:beforeLines="30"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w:t>
                  </w:r>
                </w:p>
              </w:tc>
            </w:tr>
          </w:tbl>
          <w:p>
            <w:pPr>
              <w:pStyle w:val="78"/>
              <w:numPr>
                <w:ilvl w:val="0"/>
                <w:numId w:val="0"/>
              </w:num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1.3辐射工作人员情况</w:t>
            </w:r>
          </w:p>
          <w:p>
            <w:pPr>
              <w:pStyle w:val="14"/>
              <w:numPr>
                <w:ilvl w:val="0"/>
                <w:numId w:val="0"/>
              </w:numPr>
              <w:spacing w:line="360" w:lineRule="auto"/>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医院现有42名辐射工作人员，其中汪念东、农彦林、焦红、程微、徐先进、王书健、杨龙林、程锐锐、钱俊、王辉共10人负责DSA机房（见附件14：DSA机房辐射工作人员清单），10人全部参加了辐射安全和防护专业知识培训并获得辐射安全培训合格证书（见附件15：DSA工作人员辐射安全培训合格证书）。</w:t>
            </w:r>
          </w:p>
          <w:p>
            <w:pPr>
              <w:pStyle w:val="14"/>
              <w:numPr>
                <w:ilvl w:val="0"/>
                <w:numId w:val="0"/>
              </w:numPr>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表2-</w:t>
            </w:r>
            <w:r>
              <w:rPr>
                <w:rFonts w:hint="eastAsia" w:ascii="Times New Roman" w:hAnsi="Times New Roman" w:cs="Times New Roman"/>
                <w:b/>
                <w:bCs/>
                <w:color w:val="auto"/>
                <w:kern w:val="0"/>
                <w:sz w:val="21"/>
                <w:szCs w:val="21"/>
                <w:lang w:val="en-US" w:eastAsia="zh-CN" w:bidi="ar"/>
              </w:rPr>
              <w:t>2</w:t>
            </w:r>
            <w:r>
              <w:rPr>
                <w:rFonts w:hint="default" w:ascii="Times New Roman" w:hAnsi="Times New Roman" w:eastAsia="宋体" w:cs="Times New Roman"/>
                <w:b/>
                <w:bCs/>
                <w:color w:val="auto"/>
                <w:kern w:val="0"/>
                <w:sz w:val="21"/>
                <w:szCs w:val="21"/>
                <w:lang w:val="en-US" w:eastAsia="zh-CN" w:bidi="ar"/>
              </w:rPr>
              <w:t xml:space="preserve">  南京鼓楼医院集团安庆市石化医院DSA辐射工作人员情况统计表</w:t>
            </w:r>
          </w:p>
          <w:tbl>
            <w:tblPr>
              <w:tblStyle w:val="39"/>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683"/>
              <w:gridCol w:w="772"/>
              <w:gridCol w:w="515"/>
              <w:gridCol w:w="1165"/>
              <w:gridCol w:w="1305"/>
              <w:gridCol w:w="1260"/>
              <w:gridCol w:w="1053"/>
              <w:gridCol w:w="89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504" w:type="dxa"/>
                  <w:vAlign w:val="center"/>
                </w:tcPr>
                <w:p>
                  <w:pPr>
                    <w:pStyle w:val="14"/>
                    <w:widowControl w:val="0"/>
                    <w:numPr>
                      <w:ilvl w:val="0"/>
                      <w:numId w:val="0"/>
                    </w:numPr>
                    <w:spacing w:line="240" w:lineRule="auto"/>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序号</w:t>
                  </w:r>
                </w:p>
              </w:tc>
              <w:tc>
                <w:tcPr>
                  <w:tcW w:w="683" w:type="dxa"/>
                  <w:vAlign w:val="center"/>
                </w:tcPr>
                <w:p>
                  <w:pPr>
                    <w:pStyle w:val="14"/>
                    <w:widowControl w:val="0"/>
                    <w:numPr>
                      <w:ilvl w:val="0"/>
                      <w:numId w:val="0"/>
                    </w:numPr>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姓名</w:t>
                  </w:r>
                </w:p>
              </w:tc>
              <w:tc>
                <w:tcPr>
                  <w:tcW w:w="772" w:type="dxa"/>
                  <w:vAlign w:val="center"/>
                </w:tcPr>
                <w:p>
                  <w:pPr>
                    <w:pStyle w:val="14"/>
                    <w:widowControl w:val="0"/>
                    <w:numPr>
                      <w:ilvl w:val="0"/>
                      <w:numId w:val="0"/>
                    </w:numPr>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辐射工作类别</w:t>
                  </w:r>
                </w:p>
              </w:tc>
              <w:tc>
                <w:tcPr>
                  <w:tcW w:w="515" w:type="dxa"/>
                  <w:vAlign w:val="center"/>
                </w:tcPr>
                <w:p>
                  <w:pPr>
                    <w:pStyle w:val="14"/>
                    <w:widowControl w:val="0"/>
                    <w:numPr>
                      <w:ilvl w:val="0"/>
                      <w:numId w:val="0"/>
                    </w:numPr>
                    <w:spacing w:line="240" w:lineRule="auto"/>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性别</w:t>
                  </w:r>
                </w:p>
              </w:tc>
              <w:tc>
                <w:tcPr>
                  <w:tcW w:w="1165" w:type="dxa"/>
                  <w:vAlign w:val="center"/>
                </w:tcPr>
                <w:p>
                  <w:pPr>
                    <w:pStyle w:val="14"/>
                    <w:widowControl w:val="0"/>
                    <w:numPr>
                      <w:ilvl w:val="0"/>
                      <w:numId w:val="0"/>
                    </w:numPr>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岗位</w:t>
                  </w:r>
                </w:p>
              </w:tc>
              <w:tc>
                <w:tcPr>
                  <w:tcW w:w="1305" w:type="dxa"/>
                  <w:vAlign w:val="center"/>
                </w:tcPr>
                <w:p>
                  <w:pPr>
                    <w:pStyle w:val="14"/>
                    <w:widowControl w:val="0"/>
                    <w:numPr>
                      <w:ilvl w:val="0"/>
                      <w:numId w:val="0"/>
                    </w:numPr>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辐射安全培训证编号</w:t>
                  </w:r>
                </w:p>
              </w:tc>
              <w:tc>
                <w:tcPr>
                  <w:tcW w:w="1260" w:type="dxa"/>
                  <w:vAlign w:val="center"/>
                </w:tcPr>
                <w:p>
                  <w:pPr>
                    <w:pStyle w:val="14"/>
                    <w:widowControl w:val="0"/>
                    <w:numPr>
                      <w:ilvl w:val="0"/>
                      <w:numId w:val="0"/>
                    </w:numPr>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考核时间</w:t>
                  </w:r>
                </w:p>
              </w:tc>
              <w:tc>
                <w:tcPr>
                  <w:tcW w:w="1053" w:type="dxa"/>
                  <w:vAlign w:val="center"/>
                </w:tcPr>
                <w:p>
                  <w:pPr>
                    <w:pStyle w:val="14"/>
                    <w:widowControl w:val="0"/>
                    <w:numPr>
                      <w:ilvl w:val="0"/>
                      <w:numId w:val="0"/>
                    </w:numPr>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2021年年剂量（</w:t>
                  </w:r>
                  <w:r>
                    <w:rPr>
                      <w:rFonts w:hint="eastAsia" w:asciiTheme="minorEastAsia" w:hAnsiTheme="minorEastAsia" w:eastAsiaTheme="minorEastAsia" w:cstheme="minorEastAsia"/>
                      <w:color w:val="auto"/>
                      <w:kern w:val="0"/>
                      <w:sz w:val="21"/>
                      <w:szCs w:val="21"/>
                      <w:lang w:val="en-US" w:eastAsia="zh-CN" w:bidi="ar"/>
                    </w:rPr>
                    <w:t>mSv</w:t>
                  </w:r>
                  <w:r>
                    <w:rPr>
                      <w:rFonts w:hint="eastAsia" w:asciiTheme="minorEastAsia" w:hAnsiTheme="minorEastAsia" w:eastAsiaTheme="minorEastAsia" w:cstheme="minorEastAsia"/>
                      <w:color w:val="auto"/>
                      <w:kern w:val="0"/>
                      <w:sz w:val="21"/>
                      <w:szCs w:val="21"/>
                      <w:lang w:val="en-US" w:eastAsia="zh-CN" w:bidi="ar-SA"/>
                    </w:rPr>
                    <w:t>）</w:t>
                  </w:r>
                </w:p>
              </w:tc>
              <w:tc>
                <w:tcPr>
                  <w:tcW w:w="895"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体检日期</w:t>
                  </w:r>
                </w:p>
              </w:tc>
              <w:tc>
                <w:tcPr>
                  <w:tcW w:w="1202" w:type="dxa"/>
                  <w:vAlign w:val="center"/>
                </w:tcPr>
                <w:p>
                  <w:pPr>
                    <w:pStyle w:val="14"/>
                    <w:widowControl w:val="0"/>
                    <w:numPr>
                      <w:ilvl w:val="0"/>
                      <w:numId w:val="0"/>
                    </w:numPr>
                    <w:spacing w:line="240" w:lineRule="auto"/>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体检结果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1</w:t>
                  </w:r>
                </w:p>
              </w:tc>
              <w:tc>
                <w:tcPr>
                  <w:tcW w:w="68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bidi="ar"/>
                    </w:rPr>
                    <w:t>汪念东</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2E</w:t>
                  </w:r>
                </w:p>
              </w:tc>
              <w:tc>
                <w:tcPr>
                  <w:tcW w:w="51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男</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副院长兼心血管内科主任</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皖环辐培B1929007</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2019.9.16~2019.9.18</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0.3</w:t>
                  </w:r>
                </w:p>
              </w:tc>
              <w:tc>
                <w:tcPr>
                  <w:tcW w:w="89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2021.4.2</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w:t>
                  </w:r>
                </w:p>
              </w:tc>
              <w:tc>
                <w:tcPr>
                  <w:tcW w:w="68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bidi="ar"/>
                    </w:rPr>
                    <w:t>农彦林</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2E</w:t>
                  </w:r>
                </w:p>
              </w:tc>
              <w:tc>
                <w:tcPr>
                  <w:tcW w:w="51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男</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心血管内科医疗</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皖环辐培B1929008</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2019.9.16~2019.9.18</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0.18</w:t>
                  </w:r>
                </w:p>
              </w:tc>
              <w:tc>
                <w:tcPr>
                  <w:tcW w:w="89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2021.3.28</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3</w:t>
                  </w:r>
                </w:p>
              </w:tc>
              <w:tc>
                <w:tcPr>
                  <w:tcW w:w="68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bidi="ar"/>
                    </w:rPr>
                    <w:t>焦红</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2F</w:t>
                  </w:r>
                </w:p>
              </w:tc>
              <w:tc>
                <w:tcPr>
                  <w:tcW w:w="51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女</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心血管内科护理</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皖环辐培B1929009</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2019.9.16~2019.9.18</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0.23</w:t>
                  </w:r>
                </w:p>
              </w:tc>
              <w:tc>
                <w:tcPr>
                  <w:tcW w:w="89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2021.3.18</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4</w:t>
                  </w:r>
                </w:p>
              </w:tc>
              <w:tc>
                <w:tcPr>
                  <w:tcW w:w="68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bidi="ar"/>
                    </w:rPr>
                    <w:t>程微</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2F</w:t>
                  </w:r>
                </w:p>
              </w:tc>
              <w:tc>
                <w:tcPr>
                  <w:tcW w:w="51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女</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心血管内科护理</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皖环辐培B1929006</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2019.9.16~2019.9.18</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0.28</w:t>
                  </w:r>
                </w:p>
              </w:tc>
              <w:tc>
                <w:tcPr>
                  <w:tcW w:w="89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2021.3.18</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5</w:t>
                  </w:r>
                </w:p>
              </w:tc>
              <w:tc>
                <w:tcPr>
                  <w:tcW w:w="68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bidi="ar"/>
                    </w:rPr>
                    <w:t>徐先进</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2E</w:t>
                  </w:r>
                </w:p>
              </w:tc>
              <w:tc>
                <w:tcPr>
                  <w:tcW w:w="51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男</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心血管内科副主任</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皖环辐培B1929005</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2019.9.16~2019.9.18</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0.31</w:t>
                  </w:r>
                </w:p>
              </w:tc>
              <w:tc>
                <w:tcPr>
                  <w:tcW w:w="89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2021.4.2</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6</w:t>
                  </w:r>
                </w:p>
              </w:tc>
              <w:tc>
                <w:tcPr>
                  <w:tcW w:w="68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bidi="ar"/>
                    </w:rPr>
                    <w:t>王书健</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2E</w:t>
                  </w:r>
                </w:p>
              </w:tc>
              <w:tc>
                <w:tcPr>
                  <w:tcW w:w="51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男</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放射科副主任</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FS21AH0101663</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2021.7</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0.13</w:t>
                  </w:r>
                </w:p>
              </w:tc>
              <w:tc>
                <w:tcPr>
                  <w:tcW w:w="89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2021.3.23</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7</w:t>
                  </w:r>
                </w:p>
              </w:tc>
              <w:tc>
                <w:tcPr>
                  <w:tcW w:w="68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bidi="ar"/>
                    </w:rPr>
                    <w:t>杨龙林</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2E</w:t>
                  </w:r>
                </w:p>
              </w:tc>
              <w:tc>
                <w:tcPr>
                  <w:tcW w:w="51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男</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放射科副主任</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FS21AH0101662</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2021.7</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0.27</w:t>
                  </w:r>
                </w:p>
              </w:tc>
              <w:tc>
                <w:tcPr>
                  <w:tcW w:w="895"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2021.3.22</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w:t>
                  </w:r>
                </w:p>
              </w:tc>
              <w:tc>
                <w:tcPr>
                  <w:tcW w:w="683"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程锐锐</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2A</w:t>
                  </w:r>
                </w:p>
              </w:tc>
              <w:tc>
                <w:tcPr>
                  <w:tcW w:w="51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男</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放射科医技</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FS21AH0101689</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2021.7</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0.16</w:t>
                  </w:r>
                </w:p>
              </w:tc>
              <w:tc>
                <w:tcPr>
                  <w:tcW w:w="89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2021.3.19</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w:t>
                  </w:r>
                </w:p>
              </w:tc>
              <w:tc>
                <w:tcPr>
                  <w:tcW w:w="683"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钱俊</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2A</w:t>
                  </w:r>
                </w:p>
              </w:tc>
              <w:tc>
                <w:tcPr>
                  <w:tcW w:w="51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男</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放射科医疗</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FS21AH0101646</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2021.7</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0.17</w:t>
                  </w:r>
                </w:p>
              </w:tc>
              <w:tc>
                <w:tcPr>
                  <w:tcW w:w="89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2021.3.18</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04"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w:t>
                  </w:r>
                </w:p>
              </w:tc>
              <w:tc>
                <w:tcPr>
                  <w:tcW w:w="683"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王辉</w:t>
                  </w:r>
                </w:p>
              </w:tc>
              <w:tc>
                <w:tcPr>
                  <w:tcW w:w="772" w:type="dxa"/>
                  <w:vAlign w:val="center"/>
                </w:tcPr>
                <w:p>
                  <w:pPr>
                    <w:widowControl w:val="0"/>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lang w:val="en-US" w:eastAsia="zh-CN"/>
                    </w:rPr>
                    <w:t>2A</w:t>
                  </w:r>
                </w:p>
              </w:tc>
              <w:tc>
                <w:tcPr>
                  <w:tcW w:w="51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男</w:t>
                  </w:r>
                </w:p>
              </w:tc>
              <w:tc>
                <w:tcPr>
                  <w:tcW w:w="116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放射科医技</w:t>
                  </w:r>
                </w:p>
              </w:tc>
              <w:tc>
                <w:tcPr>
                  <w:tcW w:w="130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FS21AH0101645</w:t>
                  </w:r>
                </w:p>
              </w:tc>
              <w:tc>
                <w:tcPr>
                  <w:tcW w:w="1260"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2021.7</w:t>
                  </w:r>
                </w:p>
              </w:tc>
              <w:tc>
                <w:tcPr>
                  <w:tcW w:w="1053"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0.21</w:t>
                  </w:r>
                </w:p>
              </w:tc>
              <w:tc>
                <w:tcPr>
                  <w:tcW w:w="895"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2021.3.19</w:t>
                  </w:r>
                </w:p>
              </w:tc>
              <w:tc>
                <w:tcPr>
                  <w:tcW w:w="1202" w:type="dxa"/>
                  <w:vAlign w:val="center"/>
                </w:tcPr>
                <w:p>
                  <w:pPr>
                    <w:widowControl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可继续原放射工作</w:t>
                  </w:r>
                </w:p>
              </w:tc>
            </w:tr>
          </w:tbl>
          <w:p>
            <w:pPr>
              <w:pStyle w:val="78"/>
              <w:numPr>
                <w:ilvl w:val="0"/>
                <w:numId w:val="0"/>
              </w:numPr>
              <w:ind w:firstLine="480" w:firstLineChars="200"/>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zh-CN" w:eastAsia="zh-CN" w:bidi="ar"/>
              </w:rPr>
              <w:t>医院已委托安徽达申卫生检测技术有限公司每季度对</w:t>
            </w:r>
            <w:r>
              <w:rPr>
                <w:rFonts w:hint="eastAsia" w:asciiTheme="minorEastAsia" w:hAnsiTheme="minorEastAsia" w:eastAsiaTheme="minorEastAsia" w:cstheme="minorEastAsia"/>
                <w:color w:val="auto"/>
                <w:kern w:val="0"/>
                <w:sz w:val="24"/>
                <w:szCs w:val="24"/>
                <w:lang w:val="en-US" w:eastAsia="zh-CN" w:bidi="ar"/>
              </w:rPr>
              <w:t>DSA机房</w:t>
            </w:r>
            <w:r>
              <w:rPr>
                <w:rFonts w:hint="eastAsia" w:asciiTheme="minorEastAsia" w:hAnsiTheme="minorEastAsia" w:eastAsiaTheme="minorEastAsia" w:cstheme="minorEastAsia"/>
                <w:color w:val="auto"/>
                <w:kern w:val="0"/>
                <w:sz w:val="24"/>
                <w:szCs w:val="24"/>
                <w:lang w:val="zh-CN" w:eastAsia="zh-CN" w:bidi="ar"/>
              </w:rPr>
              <w:t>辐射工作人员佩戴的个人剂量计进行检测。根据检测报告统计（见附件</w:t>
            </w:r>
            <w:r>
              <w:rPr>
                <w:rFonts w:hint="eastAsia" w:asciiTheme="minorEastAsia" w:hAnsiTheme="minorEastAsia" w:eastAsiaTheme="minorEastAsia" w:cstheme="minorEastAsia"/>
                <w:color w:val="auto"/>
                <w:kern w:val="0"/>
                <w:sz w:val="24"/>
                <w:szCs w:val="24"/>
                <w:lang w:val="en-US" w:eastAsia="zh-CN" w:bidi="ar"/>
              </w:rPr>
              <w:t>16</w:t>
            </w:r>
            <w:r>
              <w:rPr>
                <w:rFonts w:hint="eastAsia" w:asciiTheme="minorEastAsia" w:hAnsiTheme="minorEastAsia" w:eastAsiaTheme="minorEastAsia" w:cstheme="minorEastAsia"/>
                <w:color w:val="auto"/>
                <w:kern w:val="0"/>
                <w:sz w:val="24"/>
                <w:szCs w:val="24"/>
                <w:lang w:val="zh-CN" w:eastAsia="zh-CN" w:bidi="ar"/>
              </w:rPr>
              <w:t>：个人剂量检测报告），在20</w:t>
            </w:r>
            <w:r>
              <w:rPr>
                <w:rFonts w:hint="eastAsia" w:asciiTheme="minorEastAsia" w:hAnsiTheme="minorEastAsia" w:eastAsiaTheme="minorEastAsia" w:cstheme="minorEastAsia"/>
                <w:color w:val="auto"/>
                <w:kern w:val="0"/>
                <w:sz w:val="24"/>
                <w:szCs w:val="24"/>
                <w:lang w:val="en-US" w:eastAsia="zh-CN" w:bidi="ar"/>
              </w:rPr>
              <w:t>20</w:t>
            </w:r>
            <w:r>
              <w:rPr>
                <w:rFonts w:hint="eastAsia" w:asciiTheme="minorEastAsia" w:hAnsiTheme="minorEastAsia" w:eastAsiaTheme="minorEastAsia" w:cstheme="minorEastAsia"/>
                <w:color w:val="auto"/>
                <w:kern w:val="0"/>
                <w:sz w:val="24"/>
                <w:szCs w:val="24"/>
                <w:lang w:val="zh-CN" w:eastAsia="zh-CN" w:bidi="ar"/>
              </w:rPr>
              <w:t>年</w:t>
            </w:r>
            <w:r>
              <w:rPr>
                <w:rFonts w:hint="eastAsia" w:asciiTheme="minorEastAsia" w:hAnsiTheme="minorEastAsia" w:eastAsiaTheme="minorEastAsia" w:cstheme="minorEastAsia"/>
                <w:color w:val="auto"/>
                <w:kern w:val="0"/>
                <w:sz w:val="24"/>
                <w:szCs w:val="24"/>
                <w:lang w:val="en-US" w:eastAsia="zh-CN" w:bidi="ar"/>
              </w:rPr>
              <w:t>12</w:t>
            </w:r>
            <w:r>
              <w:rPr>
                <w:rFonts w:hint="eastAsia" w:asciiTheme="minorEastAsia" w:hAnsiTheme="minorEastAsia" w:eastAsiaTheme="minorEastAsia" w:cstheme="minorEastAsia"/>
                <w:color w:val="auto"/>
                <w:kern w:val="0"/>
                <w:sz w:val="24"/>
                <w:szCs w:val="24"/>
                <w:lang w:val="zh-CN" w:eastAsia="zh-CN" w:bidi="ar"/>
              </w:rPr>
              <w:t>月</w:t>
            </w:r>
            <w:r>
              <w:rPr>
                <w:rFonts w:hint="eastAsia" w:asciiTheme="minorEastAsia" w:hAnsiTheme="minorEastAsia" w:eastAsiaTheme="minorEastAsia" w:cstheme="minorEastAsia"/>
                <w:color w:val="auto"/>
                <w:kern w:val="0"/>
                <w:sz w:val="24"/>
                <w:szCs w:val="24"/>
                <w:lang w:val="en-US" w:eastAsia="zh-CN" w:bidi="ar"/>
              </w:rPr>
              <w:t>14日</w:t>
            </w:r>
            <w:r>
              <w:rPr>
                <w:rFonts w:hint="eastAsia" w:asciiTheme="minorEastAsia" w:hAnsiTheme="minorEastAsia" w:eastAsiaTheme="minorEastAsia" w:cstheme="minorEastAsia"/>
                <w:color w:val="auto"/>
                <w:kern w:val="0"/>
                <w:sz w:val="24"/>
                <w:szCs w:val="24"/>
                <w:lang w:val="zh-CN" w:eastAsia="zh-CN" w:bidi="ar"/>
              </w:rPr>
              <w:t>至20</w:t>
            </w:r>
            <w:r>
              <w:rPr>
                <w:rFonts w:hint="eastAsia" w:asciiTheme="minorEastAsia" w:hAnsiTheme="minorEastAsia" w:eastAsiaTheme="minorEastAsia" w:cstheme="minorEastAsia"/>
                <w:color w:val="auto"/>
                <w:kern w:val="0"/>
                <w:sz w:val="24"/>
                <w:szCs w:val="24"/>
                <w:lang w:val="en-US" w:eastAsia="zh-CN" w:bidi="ar"/>
              </w:rPr>
              <w:t>21</w:t>
            </w:r>
            <w:r>
              <w:rPr>
                <w:rFonts w:hint="eastAsia" w:asciiTheme="minorEastAsia" w:hAnsiTheme="minorEastAsia" w:eastAsiaTheme="minorEastAsia" w:cstheme="minorEastAsia"/>
                <w:color w:val="auto"/>
                <w:kern w:val="0"/>
                <w:sz w:val="24"/>
                <w:szCs w:val="24"/>
                <w:lang w:val="zh-CN" w:eastAsia="zh-CN" w:bidi="ar"/>
              </w:rPr>
              <w:t>年</w:t>
            </w:r>
            <w:r>
              <w:rPr>
                <w:rFonts w:hint="eastAsia" w:asciiTheme="minorEastAsia" w:hAnsiTheme="minorEastAsia" w:eastAsiaTheme="minorEastAsia" w:cstheme="minorEastAsia"/>
                <w:color w:val="auto"/>
                <w:kern w:val="0"/>
                <w:sz w:val="24"/>
                <w:szCs w:val="24"/>
                <w:lang w:val="en-US" w:eastAsia="zh-CN" w:bidi="ar"/>
              </w:rPr>
              <w:t>12</w:t>
            </w:r>
            <w:r>
              <w:rPr>
                <w:rFonts w:hint="eastAsia" w:asciiTheme="minorEastAsia" w:hAnsiTheme="minorEastAsia" w:eastAsiaTheme="minorEastAsia" w:cstheme="minorEastAsia"/>
                <w:color w:val="auto"/>
                <w:kern w:val="0"/>
                <w:sz w:val="24"/>
                <w:szCs w:val="24"/>
                <w:lang w:val="zh-CN" w:eastAsia="zh-CN" w:bidi="ar"/>
              </w:rPr>
              <w:t>月</w:t>
            </w:r>
            <w:r>
              <w:rPr>
                <w:rFonts w:hint="eastAsia" w:asciiTheme="minorEastAsia" w:hAnsiTheme="minorEastAsia" w:eastAsiaTheme="minorEastAsia" w:cstheme="minorEastAsia"/>
                <w:color w:val="auto"/>
                <w:kern w:val="0"/>
                <w:sz w:val="24"/>
                <w:szCs w:val="24"/>
                <w:lang w:val="en-US" w:eastAsia="zh-CN" w:bidi="ar"/>
              </w:rPr>
              <w:t>14日</w:t>
            </w:r>
            <w:r>
              <w:rPr>
                <w:rFonts w:hint="eastAsia" w:asciiTheme="minorEastAsia" w:hAnsiTheme="minorEastAsia" w:eastAsiaTheme="minorEastAsia" w:cstheme="minorEastAsia"/>
                <w:color w:val="auto"/>
                <w:kern w:val="0"/>
                <w:sz w:val="24"/>
                <w:szCs w:val="24"/>
                <w:lang w:val="zh-CN" w:eastAsia="zh-CN" w:bidi="ar"/>
              </w:rPr>
              <w:t>期间</w:t>
            </w:r>
            <w:r>
              <w:rPr>
                <w:rFonts w:hint="eastAsia" w:asciiTheme="minorEastAsia" w:hAnsiTheme="minorEastAsia" w:eastAsiaTheme="minorEastAsia" w:cstheme="minorEastAsia"/>
                <w:color w:val="auto"/>
                <w:kern w:val="0"/>
                <w:sz w:val="24"/>
                <w:szCs w:val="24"/>
                <w:lang w:val="en-US" w:eastAsia="zh-CN" w:bidi="ar"/>
              </w:rPr>
              <w:t>DSA机房工作人员个人全年累积所受附加剂量在0.13~0.31mSv范围内，未出现超过项目剂量管理限值的情况，满足《电离辐射防护与辐射源安全基本标准》（GBl8871-2002）中关于辐射工作人员剂量限值（20mSv）的要求。由于DSA机房工作人员没有严格按照要求佩戴好个人剂量计，因此导致DSA机房工作人员整体剂量偏低。本次验收建议DSA机房工作人员严格按照要求佩戴好个人剂量计，防止个人剂量数据出现错误。</w:t>
            </w:r>
          </w:p>
          <w:p>
            <w:pPr>
              <w:pStyle w:val="78"/>
              <w:numPr>
                <w:ilvl w:val="0"/>
                <w:numId w:val="0"/>
              </w:numPr>
              <w:ind w:firstLine="480" w:firstLineChars="200"/>
              <w:rPr>
                <w:rFonts w:hint="default" w:ascii="Times New Roman" w:hAnsi="Times New Roman" w:eastAsia="宋体" w:cs="Times New Roman"/>
                <w:b/>
                <w:bCs/>
                <w:color w:val="auto"/>
                <w:sz w:val="21"/>
                <w:szCs w:val="21"/>
                <w:lang w:val="en-US" w:eastAsia="zh-CN"/>
              </w:rPr>
            </w:pPr>
            <w:r>
              <w:rPr>
                <w:rFonts w:hint="eastAsia" w:asciiTheme="minorEastAsia" w:hAnsiTheme="minorEastAsia" w:eastAsiaTheme="minorEastAsia" w:cstheme="minorEastAsia"/>
                <w:color w:val="auto"/>
                <w:kern w:val="0"/>
                <w:sz w:val="24"/>
                <w:szCs w:val="24"/>
                <w:lang w:val="en-US" w:eastAsia="zh-CN" w:bidi="ar-SA"/>
              </w:rPr>
              <w:t>根据《放射工作人员职业健康管理办法》(卫生部第55号令)的要求，医院于2021年3月～4月对DSA机房放射工作人员进行了职业健康体检，根据《DSA机房辐射工作人员体检报告统计表》（附件17：DSA机房辐射工作人员体检报告），DSA机房辐射工作人员均可继续从事放射作业。</w:t>
            </w:r>
          </w:p>
          <w:p>
            <w:pPr>
              <w:widowControl w:val="0"/>
              <w:spacing w:line="360" w:lineRule="auto"/>
              <w:jc w:val="both"/>
              <w:rPr>
                <w:rFonts w:ascii="Times New Roman" w:hAnsi="Times New Roman" w:cs="Times New Roman"/>
                <w:color w:val="auto"/>
              </w:rPr>
            </w:pPr>
          </w:p>
        </w:tc>
      </w:tr>
    </w:tbl>
    <w:p>
      <w:pPr>
        <w:rPr>
          <w:color w:val="auto"/>
        </w:rPr>
      </w:pPr>
    </w:p>
    <w:p>
      <w:pPr>
        <w:rPr>
          <w:color w:val="auto"/>
        </w:rPr>
      </w:pPr>
    </w:p>
    <w:tbl>
      <w:tblPr>
        <w:tblStyle w:val="38"/>
        <w:tblW w:w="95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319" w:hRule="atLeast"/>
          <w:jc w:val="center"/>
        </w:trPr>
        <w:tc>
          <w:tcPr>
            <w:tcW w:w="9584" w:type="dxa"/>
            <w:tcBorders>
              <w:top w:val="single" w:color="auto" w:sz="4" w:space="0"/>
              <w:left w:val="single" w:color="auto" w:sz="4" w:space="0"/>
              <w:bottom w:val="single" w:color="auto" w:sz="4" w:space="0"/>
              <w:right w:val="single" w:color="auto" w:sz="4" w:space="0"/>
            </w:tcBorders>
          </w:tcPr>
          <w:p>
            <w:pPr>
              <w:pStyle w:val="3"/>
              <w:jc w:val="both"/>
              <w:rPr>
                <w:rFonts w:ascii="Times New Roman" w:hAnsi="Times New Roman" w:cs="Times New Roman"/>
                <w:color w:val="auto"/>
                <w:szCs w:val="28"/>
              </w:rPr>
            </w:pPr>
            <w:bookmarkStart w:id="12" w:name="_Toc61439299"/>
            <w:r>
              <w:rPr>
                <w:rFonts w:ascii="Times New Roman" w:hAnsi="Times New Roman" w:cs="Times New Roman"/>
                <w:color w:val="auto"/>
                <w:szCs w:val="28"/>
              </w:rPr>
              <w:t>2  项目</w:t>
            </w:r>
            <w:r>
              <w:rPr>
                <w:rFonts w:hint="eastAsia" w:ascii="Times New Roman" w:hAnsi="Times New Roman" w:cs="Times New Roman"/>
                <w:color w:val="auto"/>
                <w:szCs w:val="28"/>
              </w:rPr>
              <w:t>建设</w:t>
            </w:r>
            <w:r>
              <w:rPr>
                <w:rFonts w:ascii="Times New Roman" w:hAnsi="Times New Roman" w:cs="Times New Roman"/>
                <w:color w:val="auto"/>
                <w:szCs w:val="28"/>
              </w:rPr>
              <w:t>情况</w:t>
            </w:r>
            <w:bookmarkEnd w:id="12"/>
          </w:p>
          <w:p>
            <w:pPr>
              <w:pStyle w:val="28"/>
              <w:spacing w:before="60" w:line="360" w:lineRule="auto"/>
              <w:jc w:val="both"/>
              <w:rPr>
                <w:rFonts w:hint="eastAsia" w:asciiTheme="minorEastAsia" w:hAnsiTheme="minorEastAsia" w:eastAsiaTheme="minorEastAsia" w:cstheme="minorEastAsia"/>
                <w:color w:val="auto"/>
                <w:sz w:val="24"/>
                <w:szCs w:val="24"/>
              </w:rPr>
            </w:pPr>
            <w:bookmarkStart w:id="13" w:name="_Toc61439300"/>
            <w:r>
              <w:rPr>
                <w:rFonts w:hint="eastAsia" w:asciiTheme="minorEastAsia" w:hAnsiTheme="minorEastAsia" w:eastAsiaTheme="minorEastAsia" w:cstheme="minorEastAsia"/>
                <w:color w:val="auto"/>
                <w:sz w:val="24"/>
                <w:szCs w:val="24"/>
              </w:rPr>
              <w:t>2.1  地理位置及平面布置</w:t>
            </w:r>
            <w:bookmarkEnd w:id="13"/>
          </w:p>
          <w:p>
            <w:pPr>
              <w:spacing w:line="360" w:lineRule="auto"/>
              <w:ind w:right="55" w:rightChars="23" w:firstLine="480" w:firstLineChars="200"/>
              <w:rPr>
                <w:rFonts w:hint="eastAsia" w:ascii="宋体" w:hAnsi="宋体" w:eastAsia="宋体" w:cs="宋体"/>
                <w:color w:val="auto"/>
              </w:rPr>
            </w:pPr>
            <w:r>
              <w:rPr>
                <w:rFonts w:hint="eastAsia" w:ascii="宋体" w:hAnsi="宋体" w:eastAsia="宋体" w:cs="宋体"/>
                <w:color w:val="auto"/>
                <w:sz w:val="24"/>
                <w:szCs w:val="24"/>
                <w:lang w:val="en-US" w:eastAsia="zh-CN"/>
              </w:rPr>
              <w:t>南京鼓楼医院集团安庆市石化医院</w:t>
            </w:r>
            <w:r>
              <w:rPr>
                <w:rFonts w:hint="eastAsia"/>
                <w:color w:val="auto"/>
                <w:sz w:val="24"/>
                <w:szCs w:val="24"/>
              </w:rPr>
              <w:t>位于</w:t>
            </w:r>
            <w:r>
              <w:rPr>
                <w:rFonts w:hint="eastAsia"/>
                <w:color w:val="auto"/>
                <w:sz w:val="24"/>
                <w:szCs w:val="24"/>
                <w:lang w:eastAsia="zh-CN"/>
              </w:rPr>
              <w:t>安庆市石化一路</w:t>
            </w:r>
            <w:r>
              <w:rPr>
                <w:rFonts w:hint="eastAsia"/>
                <w:color w:val="auto"/>
                <w:sz w:val="24"/>
                <w:szCs w:val="24"/>
                <w:lang w:val="en-US" w:eastAsia="zh-CN"/>
              </w:rPr>
              <w:t>11号</w:t>
            </w:r>
            <w:r>
              <w:rPr>
                <w:rFonts w:hint="eastAsia" w:ascii="宋体" w:hAnsi="宋体" w:eastAsia="宋体" w:cs="宋体"/>
                <w:color w:val="auto"/>
                <w:sz w:val="24"/>
                <w:szCs w:val="24"/>
                <w:lang w:val="en-US" w:eastAsia="zh-CN"/>
              </w:rPr>
              <w:t>。医院地理位置示意图见图2-1</w:t>
            </w:r>
            <w:r>
              <w:rPr>
                <w:rFonts w:hint="eastAsia" w:ascii="宋体" w:hAnsi="宋体" w:eastAsia="宋体" w:cs="宋体"/>
                <w:color w:val="auto"/>
                <w:sz w:val="24"/>
                <w:szCs w:val="24"/>
                <w:lang w:val="en-US" w:eastAsia="zh-CN"/>
              </w:rPr>
              <w:t>。DSA扫描间对应二楼位置平面布置示意图见图2-4。</w:t>
            </w:r>
          </w:p>
          <w:p>
            <w:pPr>
              <w:pStyle w:val="6"/>
              <w:jc w:val="center"/>
              <w:rPr>
                <w:color w:val="auto"/>
              </w:rPr>
            </w:pPr>
            <w:r>
              <w:rPr>
                <w:rFonts w:ascii="Times New Roman" w:hAnsi="Times New Roman"/>
                <w:color w:val="auto"/>
              </w:rPr>
              <w:drawing>
                <wp:anchor distT="0" distB="0" distL="114300" distR="114300" simplePos="0" relativeHeight="251659264" behindDoc="0" locked="0" layoutInCell="1" allowOverlap="1">
                  <wp:simplePos x="0" y="0"/>
                  <wp:positionH relativeFrom="column">
                    <wp:posOffset>5127625</wp:posOffset>
                  </wp:positionH>
                  <wp:positionV relativeFrom="paragraph">
                    <wp:posOffset>290830</wp:posOffset>
                  </wp:positionV>
                  <wp:extent cx="400050" cy="542925"/>
                  <wp:effectExtent l="0" t="0" r="0" b="9525"/>
                  <wp:wrapNone/>
                  <wp:docPr id="16" name="图片 16" descr="1603003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0300380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0050" cy="542925"/>
                          </a:xfrm>
                          <a:prstGeom prst="rect">
                            <a:avLst/>
                          </a:prstGeom>
                          <a:noFill/>
                          <a:ln>
                            <a:noFill/>
                          </a:ln>
                        </pic:spPr>
                      </pic:pic>
                    </a:graphicData>
                  </a:graphic>
                </wp:anchor>
              </w:drawing>
            </w:r>
            <w:r>
              <w:rPr>
                <w:rFonts w:hint="default" w:ascii="Times New Roman" w:hAnsi="Times New Roman" w:eastAsia="宋体" w:cs="Times New Roman"/>
                <w:color w:val="auto"/>
              </w:rPr>
              <w:drawing>
                <wp:inline distT="0" distB="0" distL="114300" distR="114300">
                  <wp:extent cx="5420995" cy="2788920"/>
                  <wp:effectExtent l="0" t="0" r="8255" b="1143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0"/>
                          <a:stretch>
                            <a:fillRect/>
                          </a:stretch>
                        </pic:blipFill>
                        <pic:spPr>
                          <a:xfrm>
                            <a:off x="0" y="0"/>
                            <a:ext cx="5420995" cy="2788920"/>
                          </a:xfrm>
                          <a:prstGeom prst="rect">
                            <a:avLst/>
                          </a:prstGeom>
                          <a:noFill/>
                          <a:ln>
                            <a:noFill/>
                          </a:ln>
                        </pic:spPr>
                      </pic:pic>
                    </a:graphicData>
                  </a:graphic>
                </wp:inline>
              </w:drawing>
            </w:r>
          </w:p>
          <w:p>
            <w:pPr>
              <w:spacing w:line="360" w:lineRule="auto"/>
              <w:ind w:right="55" w:rightChars="23"/>
              <w:jc w:val="center"/>
              <w:rPr>
                <w:rFonts w:hint="default" w:ascii="Times New Roman" w:hAnsi="Times New Roman" w:eastAsia="宋体" w:cs="Times New Roman"/>
                <w:b/>
                <w:bCs/>
                <w:color w:val="auto"/>
                <w:sz w:val="21"/>
                <w:szCs w:val="21"/>
                <w:lang w:val="en-US" w:eastAsia="zh-CN"/>
              </w:rPr>
            </w:pPr>
            <w:r>
              <w:rPr>
                <w:rFonts w:hint="eastAsia" w:ascii="黑体" w:hAnsi="黑体" w:eastAsia="黑体" w:cs="Times New Roman"/>
                <w:color w:val="auto"/>
              </w:rPr>
              <w:t>图2-1</w:t>
            </w:r>
            <w:r>
              <w:rPr>
                <w:rFonts w:ascii="黑体" w:hAnsi="黑体" w:eastAsia="黑体" w:cs="Times New Roman"/>
                <w:color w:val="auto"/>
              </w:rPr>
              <w:t xml:space="preserve">  </w:t>
            </w:r>
            <w:r>
              <w:rPr>
                <w:rFonts w:hint="default" w:ascii="Times New Roman" w:hAnsi="Times New Roman" w:eastAsia="宋体" w:cs="Times New Roman"/>
                <w:b/>
                <w:bCs/>
                <w:color w:val="auto"/>
                <w:sz w:val="21"/>
                <w:szCs w:val="21"/>
                <w:lang w:val="en-US" w:eastAsia="zh-CN"/>
              </w:rPr>
              <w:t>南京鼓楼医院集团安庆市石化医院</w:t>
            </w:r>
            <w:r>
              <w:rPr>
                <w:rFonts w:hint="eastAsia" w:ascii="Times New Roman" w:hAnsi="Times New Roman" w:eastAsia="宋体" w:cs="Times New Roman"/>
                <w:b/>
                <w:bCs/>
                <w:color w:val="auto"/>
                <w:sz w:val="21"/>
                <w:szCs w:val="21"/>
                <w:lang w:val="en-US" w:eastAsia="zh-CN"/>
              </w:rPr>
              <w:t>地理位置图</w:t>
            </w:r>
          </w:p>
          <w:p>
            <w:pPr>
              <w:spacing w:line="360" w:lineRule="auto"/>
              <w:ind w:right="55" w:rightChars="23" w:firstLine="480" w:firstLineChars="200"/>
              <w:jc w:val="both"/>
              <w:rPr>
                <w:rFonts w:ascii="黑体" w:hAnsi="黑体" w:eastAsia="黑体" w:cs="Times New Roman"/>
                <w:color w:val="auto"/>
              </w:rPr>
            </w:pPr>
            <w:r>
              <w:rPr>
                <w:rFonts w:hint="eastAsia" w:ascii="宋体" w:hAnsi="宋体" w:eastAsia="宋体" w:cs="宋体"/>
                <w:color w:val="auto"/>
                <w:sz w:val="24"/>
                <w:szCs w:val="24"/>
                <w:lang w:val="en-US" w:eastAsia="zh-CN"/>
              </w:rPr>
              <w:t>本项目辐射工作场所DSA扫描间位于医院影像中心一楼南侧，影像中心位于院区中部位置，共3层，无地下层；影像中心东侧为病理楼和血透中心，南侧为综合楼，西侧为院内空地，北侧隔内部道路为门诊部。</w:t>
            </w:r>
          </w:p>
          <w:p>
            <w:pPr>
              <w:spacing w:line="360" w:lineRule="auto"/>
              <w:ind w:right="55" w:rightChars="23"/>
              <w:jc w:val="both"/>
              <w:rPr>
                <w:rFonts w:hint="default" w:ascii="黑体" w:hAnsi="黑体" w:eastAsia="黑体" w:cs="Times New Roman"/>
                <w:color w:val="auto"/>
                <w:lang w:val="en-US" w:eastAsia="zh-CN"/>
              </w:rPr>
            </w:pPr>
            <w:r>
              <w:rPr>
                <w:rFonts w:hint="eastAsia" w:ascii="黑体" w:hAnsi="黑体" w:eastAsia="黑体" w:cs="Times New Roman"/>
                <w:color w:val="auto"/>
                <w:lang w:val="en-US" w:eastAsia="zh-CN"/>
              </w:rPr>
              <w:t xml:space="preserve">    </w:t>
            </w:r>
            <w:r>
              <w:rPr>
                <w:rFonts w:hint="eastAsia" w:ascii="宋体" w:hAnsi="宋体" w:eastAsia="宋体" w:cs="宋体"/>
                <w:color w:val="auto"/>
                <w:sz w:val="24"/>
                <w:szCs w:val="24"/>
                <w:lang w:val="en-US" w:eastAsia="zh-CN"/>
              </w:rPr>
              <w:t>医院平面布置图见图2-2</w:t>
            </w:r>
            <w:r>
              <w:rPr>
                <w:rFonts w:hint="eastAsia" w:cs="宋体"/>
                <w:color w:val="auto"/>
                <w:sz w:val="24"/>
                <w:szCs w:val="24"/>
                <w:lang w:val="en-US" w:eastAsia="zh-CN"/>
              </w:rPr>
              <w:t>。</w:t>
            </w:r>
          </w:p>
          <w:p>
            <w:pPr>
              <w:jc w:val="center"/>
              <w:rPr>
                <w:color w:val="auto"/>
                <w:sz w:val="24"/>
              </w:rPr>
            </w:pPr>
          </w:p>
          <w:p>
            <w:pPr>
              <w:spacing w:line="360" w:lineRule="auto"/>
              <w:jc w:val="center"/>
              <w:rPr>
                <w:b/>
                <w:color w:val="auto"/>
                <w:sz w:val="24"/>
                <w:szCs w:val="22"/>
              </w:rPr>
            </w:pPr>
          </w:p>
          <w:p>
            <w:pPr>
              <w:pStyle w:val="14"/>
              <w:rPr>
                <w:b/>
                <w:color w:val="auto"/>
                <w:sz w:val="24"/>
                <w:szCs w:val="22"/>
              </w:rPr>
            </w:pPr>
          </w:p>
          <w:p>
            <w:pPr>
              <w:rPr>
                <w:b/>
                <w:color w:val="auto"/>
                <w:sz w:val="24"/>
                <w:szCs w:val="22"/>
              </w:rPr>
            </w:pPr>
          </w:p>
          <w:p>
            <w:pPr>
              <w:pStyle w:val="14"/>
              <w:rPr>
                <w:color w:val="auto"/>
              </w:rPr>
            </w:pPr>
          </w:p>
          <w:p>
            <w:pPr>
              <w:widowControl/>
              <w:jc w:val="left"/>
              <w:rPr>
                <w:rFonts w:ascii="宋体" w:hAnsi="宋体" w:cs="宋体"/>
                <w:color w:val="auto"/>
                <w:kern w:val="0"/>
                <w:sz w:val="24"/>
                <w:szCs w:val="24"/>
              </w:rPr>
            </w:pPr>
          </w:p>
          <w:p>
            <w:pPr>
              <w:widowControl/>
              <w:jc w:val="center"/>
              <w:rPr>
                <w:rFonts w:ascii="宋体" w:hAnsi="宋体" w:cs="宋体"/>
                <w:color w:val="auto"/>
                <w:kern w:val="0"/>
                <w:sz w:val="24"/>
                <w:szCs w:val="24"/>
              </w:rPr>
            </w:pPr>
            <w:r>
              <w:rPr>
                <w:rFonts w:hint="eastAsia"/>
                <w:color w:val="auto"/>
              </w:rPr>
              <mc:AlternateContent>
                <mc:Choice Requires="wps">
                  <w:drawing>
                    <wp:anchor distT="0" distB="0" distL="114300" distR="114300" simplePos="0" relativeHeight="251661312" behindDoc="0" locked="0" layoutInCell="1" allowOverlap="1">
                      <wp:simplePos x="0" y="0"/>
                      <wp:positionH relativeFrom="column">
                        <wp:posOffset>4133215</wp:posOffset>
                      </wp:positionH>
                      <wp:positionV relativeFrom="paragraph">
                        <wp:posOffset>5655945</wp:posOffset>
                      </wp:positionV>
                      <wp:extent cx="189865" cy="189865"/>
                      <wp:effectExtent l="19050" t="21590" r="19685" b="17145"/>
                      <wp:wrapNone/>
                      <wp:docPr id="3" name="五角星 3"/>
                      <wp:cNvGraphicFramePr/>
                      <a:graphic xmlns:a="http://schemas.openxmlformats.org/drawingml/2006/main">
                        <a:graphicData uri="http://schemas.microsoft.com/office/word/2010/wordprocessingShape">
                          <wps:wsp>
                            <wps:cNvSpPr/>
                            <wps:spPr>
                              <a:xfrm>
                                <a:off x="0" y="0"/>
                                <a:ext cx="189865" cy="18986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25.45pt;margin-top:445.35pt;height:14.95pt;width:14.95pt;z-index:251661312;v-text-anchor:middle;mso-width-relative:page;mso-height-relative:page;" fillcolor="#FF0000" filled="t" stroked="t" coordsize="189865,189865" o:gfxdata="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YmQrdgAAAALAQAADwAAAAAAAAABACAAAAAiAAAAZHJzL2Rvd25y&#10;ZXYueG1sUEsBAhQAFAAAAAgAh07iQKiVt15wAgAA9wQAAA4AAAAAAAAAAQAgAAAAJwEAAGRycy9l&#10;Mm9Eb2MueG1sUEsFBgAAAAAGAAYAWQEAAAkGAAAAAA==&#10;" path="m0,72521l72522,72522,94932,0,117342,72522,189864,72521,131192,117342,153603,189864,94932,145042,36261,189864,58672,117342xe">
                      <v:path o:connectlocs="94932,0;0,72521;36261,189864;153603,189864;189864,72521" o:connectangles="247,164,82,82,0"/>
                      <v:fill on="t" focussize="0,0"/>
                      <v:stroke weight="1pt" color="#FF0000 [3204]" miterlimit="8" joinstyle="miter"/>
                      <v:imagedata o:title=""/>
                      <o:lock v:ext="edit" aspectratio="f"/>
                    </v:shape>
                  </w:pict>
                </mc:Fallback>
              </mc:AlternateContent>
            </w:r>
            <w:r>
              <w:rPr>
                <w:rFonts w:hint="eastAsia"/>
                <w:color w:val="auto"/>
              </w:rPr>
              <mc:AlternateContent>
                <mc:Choice Requires="wps">
                  <w:drawing>
                    <wp:anchor distT="0" distB="0" distL="114300" distR="114300" simplePos="0" relativeHeight="251660288" behindDoc="0" locked="0" layoutInCell="1" allowOverlap="1">
                      <wp:simplePos x="0" y="0"/>
                      <wp:positionH relativeFrom="column">
                        <wp:posOffset>3030220</wp:posOffset>
                      </wp:positionH>
                      <wp:positionV relativeFrom="paragraph">
                        <wp:posOffset>2576195</wp:posOffset>
                      </wp:positionV>
                      <wp:extent cx="189865" cy="189865"/>
                      <wp:effectExtent l="19050" t="38100" r="39370" b="39370"/>
                      <wp:wrapNone/>
                      <wp:docPr id="21" name="五角星 21"/>
                      <wp:cNvGraphicFramePr/>
                      <a:graphic xmlns:a="http://schemas.openxmlformats.org/drawingml/2006/main">
                        <a:graphicData uri="http://schemas.microsoft.com/office/word/2010/wordprocessingShape">
                          <wps:wsp>
                            <wps:cNvSpPr/>
                            <wps:spPr>
                              <a:xfrm>
                                <a:off x="0" y="0"/>
                                <a:ext cx="189781" cy="189781"/>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8.6pt;margin-top:202.85pt;height:14.95pt;width:14.95pt;z-index:251660288;v-text-anchor:middle;mso-width-relative:page;mso-height-relative:page;" fillcolor="#FF0000" filled="t" stroked="t" coordsize="189781,189781" o:gfxdata="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505rB2QAAAAsBAAAPAAAAAAAAAAEAIAAAACIAAABkcnMvZG93bnJl&#10;di54bWxQSwECFAAUAAAACACHTuJAZ3kcAG4CAAD5BAAADgAAAAAAAAABACAAAAAoAQAAZHJzL2Uy&#10;b0RvYy54bWxQSwUGAAAAAAYABgBZAQAACAYAAAAA&#10;" path="m0,72489l72490,72490,94890,0,117290,72490,189780,72489,131134,117290,153535,189780,94890,144978,36245,189780,58646,117290xe">
                      <v:path o:connectlocs="94890,0;0,72489;36245,189780;153535,189780;189780,72489" o:connectangles="247,164,82,82,0"/>
                      <v:fill on="t" focussize="0,0"/>
                      <v:stroke weight="1pt" color="#FF0000 [3204]" miterlimit="8" joinstyle="miter"/>
                      <v:imagedata o:title=""/>
                      <o:lock v:ext="edit" aspectratio="f"/>
                    </v:shape>
                  </w:pict>
                </mc:Fallback>
              </mc:AlternateContent>
            </w:r>
            <w:r>
              <w:rPr>
                <w:rFonts w:hint="eastAsia" w:ascii="Times New Roman" w:hAnsi="Times New Roman" w:eastAsia="宋体" w:cs="Times New Roman"/>
                <w:color w:val="auto"/>
                <w:sz w:val="21"/>
                <w:szCs w:val="21"/>
                <w:lang w:eastAsia="zh-CN"/>
              </w:rPr>
              <w:drawing>
                <wp:inline distT="0" distB="0" distL="114300" distR="114300">
                  <wp:extent cx="4311015" cy="6031230"/>
                  <wp:effectExtent l="0" t="0" r="13335" b="7620"/>
                  <wp:docPr id="2" name="图片 2" descr="d1271ce8c712fc779bb649059175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271ce8c712fc779bb649059175a9f"/>
                          <pic:cNvPicPr>
                            <a:picLocks noChangeAspect="1"/>
                          </pic:cNvPicPr>
                        </pic:nvPicPr>
                        <pic:blipFill>
                          <a:blip r:embed="rId11"/>
                          <a:stretch>
                            <a:fillRect/>
                          </a:stretch>
                        </pic:blipFill>
                        <pic:spPr>
                          <a:xfrm>
                            <a:off x="0" y="0"/>
                            <a:ext cx="4311015" cy="6031230"/>
                          </a:xfrm>
                          <a:prstGeom prst="rect">
                            <a:avLst/>
                          </a:prstGeom>
                        </pic:spPr>
                      </pic:pic>
                    </a:graphicData>
                  </a:graphic>
                </wp:inline>
              </w:drawing>
            </w:r>
          </w:p>
          <w:p>
            <w:pPr>
              <w:spacing w:line="360" w:lineRule="auto"/>
              <w:ind w:right="55" w:rightChars="23"/>
              <w:jc w:val="center"/>
              <w:rPr>
                <w:rFonts w:ascii="黑体" w:hAnsi="黑体" w:eastAsia="黑体" w:cs="Times New Roman"/>
                <w:color w:val="auto"/>
              </w:rPr>
            </w:pPr>
            <w:r>
              <w:rPr>
                <w:rFonts w:ascii="黑体" w:hAnsi="黑体" w:eastAsia="黑体" w:cs="Times New Roman"/>
                <w:color w:val="auto"/>
              </w:rPr>
              <w:t xml:space="preserve">图2-2  </w:t>
            </w:r>
            <w:r>
              <w:rPr>
                <w:rFonts w:hint="default" w:ascii="Times New Roman" w:hAnsi="Times New Roman" w:eastAsia="宋体" w:cs="Times New Roman"/>
                <w:b/>
                <w:bCs/>
                <w:color w:val="auto"/>
                <w:sz w:val="21"/>
                <w:szCs w:val="21"/>
                <w:lang w:val="en-US" w:eastAsia="zh-CN"/>
              </w:rPr>
              <w:t>南京鼓楼医院集团安庆市石化医院平面布置</w:t>
            </w:r>
            <w:r>
              <w:rPr>
                <w:rFonts w:hint="default" w:ascii="Times New Roman" w:hAnsi="Times New Roman" w:eastAsia="宋体" w:cs="Times New Roman"/>
                <w:b/>
                <w:bCs/>
                <w:color w:val="auto"/>
                <w:sz w:val="21"/>
                <w:szCs w:val="21"/>
              </w:rPr>
              <w:t>示意图</w:t>
            </w:r>
          </w:p>
          <w:p>
            <w:pPr>
              <w:spacing w:line="360" w:lineRule="auto"/>
              <w:ind w:right="55" w:rightChars="23" w:firstLine="480" w:firstLineChars="200"/>
              <w:rPr>
                <w:rFonts w:hint="eastAsia" w:ascii="宋体" w:hAnsi="宋体" w:eastAsia="宋体" w:cs="宋体"/>
                <w:color w:val="auto"/>
              </w:rPr>
            </w:pPr>
            <w:r>
              <w:rPr>
                <w:rFonts w:hint="eastAsia" w:ascii="宋体" w:hAnsi="宋体" w:eastAsia="宋体" w:cs="宋体"/>
                <w:color w:val="auto"/>
                <w:lang w:val="en-US" w:eastAsia="zh-CN"/>
              </w:rPr>
              <w:t>DSA扫描间东侧为操作室，西侧为院区内部空地；DSA扫描间北侧为CT室；南侧为设备间；DSA扫描间对应楼上二楼为储镜室和患者更衣室以及内镜检查室部分区域，无地下室</w:t>
            </w:r>
            <w:r>
              <w:rPr>
                <w:rFonts w:hint="eastAsia" w:ascii="宋体" w:hAnsi="宋体" w:eastAsia="宋体" w:cs="宋体"/>
                <w:color w:val="auto"/>
              </w:rPr>
              <w:t>。</w:t>
            </w:r>
          </w:p>
          <w:p>
            <w:pPr>
              <w:spacing w:line="360" w:lineRule="auto"/>
              <w:ind w:right="55" w:rightChars="23" w:firstLine="480" w:firstLineChars="200"/>
              <w:rPr>
                <w:rFonts w:hint="eastAsia" w:ascii="宋体" w:hAnsi="宋体" w:eastAsia="宋体" w:cs="宋体"/>
                <w:color w:val="auto"/>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val="en-US" w:eastAsia="zh-CN"/>
              </w:rPr>
              <w:t>设备南北朝向摆放，不正对操作室门、窗和操作位。</w:t>
            </w:r>
          </w:p>
          <w:p>
            <w:pPr>
              <w:spacing w:line="360" w:lineRule="auto"/>
              <w:ind w:right="55" w:rightChars="23" w:firstLine="480" w:firstLineChars="200"/>
              <w:rPr>
                <w:rFonts w:ascii="Times New Roman" w:hAnsi="Times New Roman" w:cs="Times New Roman"/>
                <w:color w:val="auto"/>
              </w:rPr>
            </w:pPr>
            <w:r>
              <w:rPr>
                <w:rFonts w:hint="eastAsia" w:ascii="宋体" w:hAnsi="宋体" w:eastAsia="宋体" w:cs="宋体"/>
                <w:color w:val="auto"/>
              </w:rPr>
              <w:t>机房的平面布局图见图2-3</w:t>
            </w:r>
            <w:r>
              <w:rPr>
                <w:rFonts w:hint="eastAsia" w:ascii="宋体" w:hAnsi="宋体" w:eastAsia="宋体" w:cs="宋体"/>
                <w:color w:val="auto"/>
                <w:lang w:eastAsia="zh-CN"/>
              </w:rPr>
              <w:t>，</w:t>
            </w:r>
            <w:r>
              <w:rPr>
                <w:rFonts w:hint="eastAsia" w:ascii="宋体" w:hAnsi="宋体" w:eastAsia="宋体" w:cs="宋体"/>
                <w:color w:val="auto"/>
                <w:sz w:val="24"/>
                <w:szCs w:val="24"/>
                <w:lang w:val="en-US" w:eastAsia="zh-CN"/>
              </w:rPr>
              <w:t>DSA扫描间对应二楼位置平面布置示意图见图2-4。</w:t>
            </w:r>
          </w:p>
          <w:p>
            <w:pPr>
              <w:jc w:val="both"/>
              <w:rPr>
                <w:color w:val="auto"/>
              </w:rPr>
            </w:pPr>
            <w:r>
              <w:rPr>
                <w:color w:val="auto"/>
              </w:rPr>
              <w:drawing>
                <wp:inline distT="0" distB="0" distL="114300" distR="114300">
                  <wp:extent cx="5939790" cy="3369310"/>
                  <wp:effectExtent l="0" t="0" r="381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939790" cy="3369310"/>
                          </a:xfrm>
                          <a:prstGeom prst="rect">
                            <a:avLst/>
                          </a:prstGeom>
                          <a:noFill/>
                          <a:ln>
                            <a:noFill/>
                          </a:ln>
                        </pic:spPr>
                      </pic:pic>
                    </a:graphicData>
                  </a:graphic>
                </wp:inline>
              </w:drawing>
            </w:r>
          </w:p>
          <w:p>
            <w:pPr>
              <w:spacing w:line="360" w:lineRule="auto"/>
              <w:ind w:right="55" w:rightChars="23"/>
              <w:jc w:val="center"/>
              <w:rPr>
                <w:rFonts w:hint="default" w:ascii="Times New Roman" w:hAnsi="Times New Roman" w:eastAsia="宋体" w:cs="Times New Roman"/>
                <w:b/>
                <w:bCs/>
                <w:color w:val="auto"/>
                <w:sz w:val="21"/>
                <w:szCs w:val="21"/>
              </w:rPr>
            </w:pPr>
            <w:r>
              <w:rPr>
                <w:rFonts w:ascii="黑体" w:hAnsi="黑体" w:eastAsia="黑体" w:cs="Times New Roman"/>
                <w:color w:val="auto"/>
              </w:rPr>
              <w:t xml:space="preserve">图2-3 </w:t>
            </w:r>
            <w:r>
              <w:rPr>
                <w:rFonts w:hint="default" w:ascii="Times New Roman" w:hAnsi="Times New Roman" w:eastAsia="宋体" w:cs="Times New Roman"/>
                <w:b/>
                <w:bCs/>
                <w:color w:val="auto"/>
                <w:sz w:val="21"/>
                <w:szCs w:val="21"/>
                <w:lang w:val="en-US" w:eastAsia="zh-CN"/>
              </w:rPr>
              <w:t>南京鼓楼医院集团安庆市石化医院DSA项目平面布置</w:t>
            </w:r>
            <w:r>
              <w:rPr>
                <w:rFonts w:hint="default" w:ascii="Times New Roman" w:hAnsi="Times New Roman" w:eastAsia="宋体" w:cs="Times New Roman"/>
                <w:b/>
                <w:bCs/>
                <w:color w:val="auto"/>
                <w:sz w:val="21"/>
                <w:szCs w:val="21"/>
              </w:rPr>
              <w:t>示意图</w:t>
            </w:r>
          </w:p>
          <w:p>
            <w:pPr>
              <w:pStyle w:val="14"/>
              <w:rPr>
                <w:color w:val="auto"/>
              </w:rPr>
            </w:pPr>
            <w:r>
              <w:rPr>
                <w:color w:val="auto"/>
              </w:rPr>
              <w:drawing>
                <wp:inline distT="0" distB="0" distL="114300" distR="114300">
                  <wp:extent cx="5948045" cy="3502025"/>
                  <wp:effectExtent l="0" t="0" r="14605" b="317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13"/>
                          <a:stretch>
                            <a:fillRect/>
                          </a:stretch>
                        </pic:blipFill>
                        <pic:spPr>
                          <a:xfrm>
                            <a:off x="0" y="0"/>
                            <a:ext cx="5948045" cy="3502025"/>
                          </a:xfrm>
                          <a:prstGeom prst="rect">
                            <a:avLst/>
                          </a:prstGeom>
                          <a:noFill/>
                          <a:ln>
                            <a:noFill/>
                          </a:ln>
                        </pic:spPr>
                      </pic:pic>
                    </a:graphicData>
                  </a:graphic>
                </wp:inline>
              </w:drawing>
            </w:r>
          </w:p>
          <w:p>
            <w:pPr>
              <w:pStyle w:val="2"/>
              <w:jc w:val="center"/>
              <w:rPr>
                <w:rFonts w:hint="eastAsia" w:ascii="Times New Roman" w:hAnsi="Times New Roman" w:eastAsia="宋体" w:cs="Times New Roman"/>
                <w:b/>
                <w:bCs/>
                <w:color w:val="auto"/>
                <w:sz w:val="21"/>
                <w:szCs w:val="21"/>
                <w:lang w:val="en-US" w:eastAsia="zh-CN"/>
              </w:rPr>
            </w:pPr>
            <w:r>
              <w:rPr>
                <w:rFonts w:hint="eastAsia"/>
                <w:color w:val="auto"/>
                <w:lang w:val="en-US" w:eastAsia="zh-CN"/>
              </w:rPr>
              <w:t xml:space="preserve"> </w:t>
            </w:r>
            <w:r>
              <w:rPr>
                <w:rFonts w:hint="default" w:ascii="Times New Roman" w:hAnsi="Times New Roman" w:eastAsia="宋体" w:cs="Times New Roman"/>
                <w:b/>
                <w:bCs/>
                <w:color w:val="auto"/>
                <w:sz w:val="21"/>
                <w:szCs w:val="21"/>
                <w:lang w:eastAsia="zh-CN"/>
              </w:rPr>
              <w:t>图</w:t>
            </w:r>
            <w:r>
              <w:rPr>
                <w:rFonts w:hint="default" w:ascii="Times New Roman" w:hAnsi="Times New Roman" w:eastAsia="宋体" w:cs="Times New Roman"/>
                <w:b/>
                <w:bCs/>
                <w:color w:val="auto"/>
                <w:sz w:val="21"/>
                <w:szCs w:val="21"/>
                <w:lang w:val="en-US" w:eastAsia="zh-CN"/>
              </w:rPr>
              <w:t>2-4 南京鼓楼医院集团安庆市石化医院DSA扫描间对应二楼位置平面布置</w:t>
            </w:r>
            <w:r>
              <w:rPr>
                <w:rFonts w:hint="default" w:ascii="Times New Roman" w:hAnsi="Times New Roman" w:eastAsia="宋体" w:cs="Times New Roman"/>
                <w:b/>
                <w:bCs/>
                <w:color w:val="auto"/>
                <w:sz w:val="21"/>
                <w:szCs w:val="21"/>
              </w:rPr>
              <w:t>示意图</w:t>
            </w:r>
            <w:r>
              <w:rPr>
                <w:rFonts w:hint="eastAsia" w:ascii="Times New Roman" w:cs="Times New Roman"/>
                <w:b/>
                <w:bCs/>
                <w:color w:val="auto"/>
                <w:sz w:val="21"/>
                <w:szCs w:val="21"/>
                <w:lang w:eastAsia="zh-CN"/>
              </w:rPr>
              <w:t>（红色虚框部分）</w:t>
            </w:r>
          </w:p>
          <w:p>
            <w:pPr>
              <w:pStyle w:val="2"/>
              <w:spacing w:line="360" w:lineRule="auto"/>
              <w:jc w:val="both"/>
              <w:rPr>
                <w:rFonts w:hint="eastAsia" w:ascii="宋体" w:hAnsi="宋体" w:eastAsia="宋体" w:cs="宋体"/>
                <w:b/>
                <w:bCs/>
                <w:color w:val="auto"/>
                <w:sz w:val="24"/>
                <w:szCs w:val="24"/>
                <w:lang w:val="en-US" w:eastAsia="zh-CN"/>
              </w:rPr>
            </w:pPr>
            <w:bookmarkStart w:id="14" w:name="_Toc61439301"/>
            <w:r>
              <w:rPr>
                <w:rFonts w:hint="eastAsia" w:ascii="宋体" w:hAnsi="宋体" w:eastAsia="宋体" w:cs="宋体"/>
                <w:b/>
                <w:bCs/>
                <w:color w:val="auto"/>
                <w:sz w:val="24"/>
                <w:szCs w:val="24"/>
                <w:lang w:val="en-US" w:eastAsia="zh-CN"/>
              </w:rPr>
              <w:t>2.2、验收</w:t>
            </w:r>
            <w:r>
              <w:rPr>
                <w:rFonts w:hint="eastAsia" w:ascii="宋体" w:hAnsi="宋体" w:eastAsia="宋体" w:cs="宋体"/>
                <w:b/>
                <w:bCs/>
                <w:color w:val="auto"/>
                <w:sz w:val="24"/>
                <w:szCs w:val="24"/>
                <w:lang w:eastAsia="zh-CN"/>
              </w:rPr>
              <w:t>项目保护</w:t>
            </w:r>
            <w:r>
              <w:rPr>
                <w:rFonts w:hint="eastAsia" w:ascii="宋体" w:hAnsi="宋体" w:eastAsia="宋体" w:cs="宋体"/>
                <w:b/>
                <w:bCs/>
                <w:color w:val="auto"/>
                <w:sz w:val="24"/>
                <w:szCs w:val="24"/>
                <w:lang w:val="en-US" w:eastAsia="zh-CN"/>
              </w:rPr>
              <w:t>范围</w:t>
            </w:r>
          </w:p>
          <w:p>
            <w:pPr>
              <w:keepNext w:val="0"/>
              <w:keepLines w:val="0"/>
              <w:widowControl/>
              <w:suppressLineNumbers w:val="0"/>
              <w:spacing w:line="360" w:lineRule="auto"/>
              <w:ind w:firstLine="420" w:firstLineChars="200"/>
              <w:jc w:val="left"/>
              <w:rPr>
                <w:rFonts w:hint="eastAsia" w:asciiTheme="minorEastAsia" w:hAnsiTheme="minorEastAsia" w:eastAsiaTheme="minorEastAsia" w:cstheme="minorEastAsia"/>
                <w:b/>
                <w:bCs/>
                <w:color w:val="auto"/>
                <w:sz w:val="24"/>
                <w:szCs w:val="24"/>
                <w:lang w:eastAsia="zh-CN"/>
              </w:rPr>
            </w:pPr>
            <w:r>
              <w:rPr>
                <w:rFonts w:hint="eastAsia" w:cs="Times New Roman"/>
                <w:color w:val="auto"/>
                <w:kern w:val="2"/>
                <w:sz w:val="21"/>
                <w:szCs w:val="21"/>
                <w:lang w:val="en-US" w:eastAsia="zh-CN"/>
              </w:rPr>
              <w:t>根</w:t>
            </w:r>
            <w:r>
              <w:rPr>
                <w:rFonts w:hint="eastAsia" w:asciiTheme="minorEastAsia" w:hAnsiTheme="minorEastAsia" w:eastAsiaTheme="minorEastAsia" w:cstheme="minorEastAsia"/>
                <w:color w:val="auto"/>
                <w:kern w:val="2"/>
                <w:sz w:val="24"/>
                <w:szCs w:val="24"/>
                <w:lang w:val="en-US" w:eastAsia="zh-CN"/>
              </w:rPr>
              <w:t>据环评及批复，考虑到本项目射线装置应用的实际影响大小，本次辐射环境验收范围为DSA扫描间边界外50m的区域。本次验收项目的DSA扫描间位于影像中心一楼南侧。本项目保护目标主要是DSA机房医务人员、操作人员及流动人群，综合楼及影像中心医护人员、患者及流动人员，门诊部医护人员、患者及流动人员，病理楼医护人员、患者及流动人员，血透中心医护人员、患者及流动人员，项目50m范围内敏感保护目标见表 2-6。</w:t>
            </w:r>
          </w:p>
          <w:p>
            <w:pPr>
              <w:pStyle w:val="2"/>
              <w:spacing w:line="360" w:lineRule="auto"/>
              <w:jc w:val="both"/>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 xml:space="preserve">2.3 </w:t>
            </w:r>
            <w:r>
              <w:rPr>
                <w:rFonts w:hint="eastAsia" w:ascii="宋体" w:hAnsi="宋体" w:eastAsia="宋体" w:cs="宋体"/>
                <w:b/>
                <w:bCs/>
                <w:color w:val="auto"/>
                <w:sz w:val="24"/>
                <w:szCs w:val="24"/>
                <w:lang w:eastAsia="zh-CN"/>
              </w:rPr>
              <w:t>环境保护目标</w:t>
            </w:r>
          </w:p>
          <w:p>
            <w:pPr>
              <w:pStyle w:val="2"/>
              <w:spacing w:line="360" w:lineRule="auto"/>
              <w:ind w:firstLine="480" w:firstLineChars="200"/>
              <w:jc w:val="both"/>
              <w:rPr>
                <w:rFonts w:hint="default" w:asciiTheme="minorEastAsia" w:hAnsiTheme="minorEastAsia" w:eastAsiaTheme="minorEastAsia" w:cstheme="minorEastAsia"/>
                <w:color w:val="auto"/>
                <w:kern w:val="2"/>
                <w:sz w:val="24"/>
                <w:szCs w:val="24"/>
                <w:lang w:val="en-US" w:eastAsia="zh-CN" w:bidi="ar-SA"/>
              </w:rPr>
            </w:pPr>
            <w:r>
              <w:rPr>
                <w:rFonts w:hint="default" w:asciiTheme="minorEastAsia" w:hAnsiTheme="minorEastAsia" w:eastAsiaTheme="minorEastAsia" w:cstheme="minorEastAsia"/>
                <w:color w:val="auto"/>
                <w:kern w:val="2"/>
                <w:sz w:val="24"/>
                <w:szCs w:val="24"/>
                <w:lang w:val="en-US" w:eastAsia="zh-CN" w:bidi="ar-SA"/>
              </w:rPr>
              <w:t>本项目验收范围内的环境保护目标具体见表2-</w:t>
            </w:r>
            <w:r>
              <w:rPr>
                <w:rFonts w:hint="eastAsia" w:asciiTheme="minorEastAsia" w:hAnsiTheme="minorEastAsia" w:eastAsiaTheme="minorEastAsia" w:cstheme="minorEastAsia"/>
                <w:color w:val="auto"/>
                <w:kern w:val="2"/>
                <w:sz w:val="24"/>
                <w:szCs w:val="24"/>
                <w:lang w:val="en-US" w:eastAsia="zh-CN" w:bidi="ar-SA"/>
              </w:rPr>
              <w:t>3</w:t>
            </w:r>
            <w:r>
              <w:rPr>
                <w:rFonts w:hint="default" w:asciiTheme="minorEastAsia" w:hAnsiTheme="minorEastAsia" w:eastAsiaTheme="minorEastAsia" w:cstheme="minorEastAsia"/>
                <w:color w:val="auto"/>
                <w:kern w:val="2"/>
                <w:sz w:val="24"/>
                <w:szCs w:val="24"/>
                <w:lang w:val="en-US" w:eastAsia="zh-CN" w:bidi="ar-SA"/>
              </w:rPr>
              <w:t>。</w:t>
            </w:r>
          </w:p>
          <w:p>
            <w:pPr>
              <w:pStyle w:val="79"/>
              <w:spacing w:line="276"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2-</w:t>
            </w: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50m范围内</w:t>
            </w:r>
            <w:r>
              <w:rPr>
                <w:rFonts w:hint="default" w:ascii="Times New Roman" w:hAnsi="Times New Roman" w:eastAsia="宋体" w:cs="Times New Roman"/>
                <w:color w:val="auto"/>
                <w:sz w:val="21"/>
                <w:szCs w:val="21"/>
              </w:rPr>
              <w:t>主要环境保护目标一览表</w:t>
            </w:r>
          </w:p>
          <w:tbl>
            <w:tblPr>
              <w:tblStyle w:val="39"/>
              <w:tblW w:w="86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165"/>
              <w:gridCol w:w="635"/>
              <w:gridCol w:w="1373"/>
              <w:gridCol w:w="1235"/>
              <w:gridCol w:w="1373"/>
              <w:gridCol w:w="1177"/>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gridSpan w:val="2"/>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aps/>
                      <w:color w:val="auto"/>
                      <w:sz w:val="21"/>
                      <w:szCs w:val="21"/>
                    </w:rPr>
                    <w:t>周边点位描述</w:t>
                  </w:r>
                </w:p>
              </w:tc>
              <w:tc>
                <w:tcPr>
                  <w:tcW w:w="2008" w:type="dxa"/>
                  <w:gridSpan w:val="2"/>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aps/>
                      <w:color w:val="auto"/>
                      <w:sz w:val="21"/>
                      <w:szCs w:val="21"/>
                    </w:rPr>
                    <w:t>环境保护目标</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人数</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方位</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lang w:eastAsia="zh-CN"/>
                    </w:rPr>
                    <w:t>最近</w:t>
                  </w:r>
                  <w:r>
                    <w:rPr>
                      <w:rFonts w:hint="default" w:ascii="Times New Roman" w:hAnsi="Times New Roman" w:eastAsia="宋体" w:cs="Times New Roman"/>
                      <w:b/>
                      <w:color w:val="auto"/>
                      <w:sz w:val="21"/>
                      <w:szCs w:val="21"/>
                    </w:rPr>
                    <w:t>距离</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b/>
                      <w:color w:val="auto"/>
                      <w:sz w:val="21"/>
                      <w:szCs w:val="21"/>
                      <w:lang w:eastAsia="zh-CN"/>
                    </w:rPr>
                  </w:pPr>
                  <w:r>
                    <w:rPr>
                      <w:rFonts w:hint="eastAsia" w:cs="Times New Roman"/>
                      <w:b/>
                      <w:color w:val="auto"/>
                      <w:sz w:val="21"/>
                      <w:szCs w:val="21"/>
                      <w:lang w:eastAsia="zh-CN"/>
                    </w:rPr>
                    <w:t>与环评是否一致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restart"/>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辐射环境</w:t>
                  </w:r>
                </w:p>
              </w:tc>
              <w:tc>
                <w:tcPr>
                  <w:tcW w:w="1165" w:type="dxa"/>
                  <w:vMerge w:val="restart"/>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DSA</w:t>
                  </w:r>
                  <w:r>
                    <w:rPr>
                      <w:rFonts w:hint="default" w:ascii="Times New Roman" w:hAnsi="Times New Roman" w:eastAsia="宋体" w:cs="Times New Roman"/>
                      <w:color w:val="auto"/>
                      <w:sz w:val="21"/>
                      <w:szCs w:val="21"/>
                    </w:rPr>
                    <w:t>室（包括</w:t>
                  </w:r>
                  <w:r>
                    <w:rPr>
                      <w:rFonts w:hint="default" w:ascii="Times New Roman" w:hAnsi="Times New Roman" w:eastAsia="宋体" w:cs="Times New Roman"/>
                      <w:color w:val="auto"/>
                      <w:sz w:val="21"/>
                      <w:szCs w:val="21"/>
                      <w:lang w:eastAsia="zh-CN"/>
                    </w:rPr>
                    <w:t>操作室</w:t>
                  </w:r>
                  <w:r>
                    <w:rPr>
                      <w:rFonts w:hint="default" w:ascii="Times New Roman" w:hAnsi="Times New Roman" w:eastAsia="宋体" w:cs="Times New Roman"/>
                      <w:color w:val="auto"/>
                      <w:sz w:val="21"/>
                      <w:szCs w:val="21"/>
                    </w:rPr>
                    <w:t>和</w:t>
                  </w:r>
                  <w:r>
                    <w:rPr>
                      <w:rFonts w:hint="default" w:ascii="Times New Roman" w:hAnsi="Times New Roman" w:eastAsia="宋体" w:cs="Times New Roman"/>
                      <w:color w:val="auto"/>
                      <w:sz w:val="21"/>
                      <w:szCs w:val="21"/>
                      <w:lang w:eastAsia="zh-CN"/>
                    </w:rPr>
                    <w:t>机房</w:t>
                  </w:r>
                  <w:r>
                    <w:rPr>
                      <w:rFonts w:hint="default" w:ascii="Times New Roman" w:hAnsi="Times New Roman" w:eastAsia="宋体" w:cs="Times New Roman"/>
                      <w:color w:val="auto"/>
                      <w:sz w:val="21"/>
                      <w:szCs w:val="21"/>
                    </w:rPr>
                    <w:t>）</w:t>
                  </w:r>
                </w:p>
              </w:tc>
              <w:tc>
                <w:tcPr>
                  <w:tcW w:w="6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职业</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介入手术医务人员</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扫描间内</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减少了5位介入医生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6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职业</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一般医务人员</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东侧操作室内</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增加了3位医务人员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6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公众</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流动人群</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南侧通道</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约3</w:t>
                  </w:r>
                  <w:r>
                    <w:rPr>
                      <w:rFonts w:hint="default" w:ascii="Times New Roman" w:hAnsi="Times New Roman" w:eastAsia="宋体" w:cs="Times New Roman"/>
                      <w:color w:val="auto"/>
                      <w:sz w:val="21"/>
                      <w:szCs w:val="21"/>
                    </w:rPr>
                    <w:t>m</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综合楼</w:t>
                  </w:r>
                </w:p>
              </w:tc>
              <w:tc>
                <w:tcPr>
                  <w:tcW w:w="6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公众</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医护人员、患者、流动人群</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rPr>
                    <w:t>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南侧和西侧</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约10</w:t>
                  </w:r>
                  <w:r>
                    <w:rPr>
                      <w:rFonts w:hint="default" w:ascii="Times New Roman" w:hAnsi="Times New Roman" w:eastAsia="宋体" w:cs="Times New Roman"/>
                      <w:color w:val="auto"/>
                      <w:sz w:val="21"/>
                      <w:szCs w:val="21"/>
                    </w:rPr>
                    <w:t>m</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Merge w:val="restart"/>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影像中心</w:t>
                  </w:r>
                </w:p>
              </w:tc>
              <w:tc>
                <w:tcPr>
                  <w:tcW w:w="6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职业</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其他辐射工作人员</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北侧</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紧邻</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p>
              </w:tc>
              <w:tc>
                <w:tcPr>
                  <w:tcW w:w="635" w:type="dxa"/>
                  <w:vMerge w:val="restart"/>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公众</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医护人员</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楼上</w:t>
                  </w:r>
                  <w:r>
                    <w:rPr>
                      <w:rFonts w:hint="eastAsia" w:ascii="Times New Roman" w:hAnsi="Times New Roman" w:cs="Times New Roman"/>
                      <w:color w:val="auto"/>
                      <w:sz w:val="21"/>
                      <w:szCs w:val="21"/>
                      <w:lang w:val="en-US" w:eastAsia="zh-CN"/>
                    </w:rPr>
                    <w:t>及北侧</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紧邻</w:t>
                  </w:r>
                </w:p>
              </w:tc>
              <w:tc>
                <w:tcPr>
                  <w:tcW w:w="1168" w:type="dxa"/>
                  <w:vAlign w:val="center"/>
                </w:tcPr>
                <w:p>
                  <w:pPr>
                    <w:widowControl w:val="0"/>
                    <w:spacing w:line="240" w:lineRule="atLeast"/>
                    <w:ind w:left="-60" w:leftChars="-25" w:right="-60" w:rightChars="-25"/>
                    <w:jc w:val="center"/>
                    <w:rPr>
                      <w:rFonts w:hint="eastAsia" w:cs="Times New Roman"/>
                      <w:color w:val="auto"/>
                      <w:sz w:val="21"/>
                      <w:szCs w:val="21"/>
                      <w:lang w:val="en-US" w:eastAsia="zh-CN"/>
                    </w:rPr>
                  </w:pPr>
                  <w:r>
                    <w:rPr>
                      <w:rFonts w:hint="eastAsia"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635"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患者、流动人群</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约100人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楼上</w:t>
                  </w:r>
                  <w:r>
                    <w:rPr>
                      <w:rFonts w:hint="eastAsia" w:ascii="Times New Roman" w:hAnsi="Times New Roman" w:cs="Times New Roman"/>
                      <w:color w:val="auto"/>
                      <w:sz w:val="21"/>
                      <w:szCs w:val="21"/>
                      <w:lang w:val="en-US" w:eastAsia="zh-CN"/>
                    </w:rPr>
                    <w:t>及北侧</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紧邻</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门诊部</w:t>
                  </w:r>
                </w:p>
              </w:tc>
              <w:tc>
                <w:tcPr>
                  <w:tcW w:w="6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公众</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医护人员、患者、流动人群</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600</w:t>
                  </w:r>
                  <w:r>
                    <w:rPr>
                      <w:rFonts w:hint="default" w:ascii="Times New Roman" w:hAnsi="Times New Roman" w:eastAsia="宋体" w:cs="Times New Roman"/>
                      <w:color w:val="auto"/>
                      <w:sz w:val="21"/>
                      <w:szCs w:val="21"/>
                    </w:rPr>
                    <w:t>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北侧</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约35</w:t>
                  </w:r>
                  <w:r>
                    <w:rPr>
                      <w:rFonts w:hint="default" w:ascii="Times New Roman" w:hAnsi="Times New Roman" w:eastAsia="宋体" w:cs="Times New Roman"/>
                      <w:color w:val="auto"/>
                      <w:sz w:val="21"/>
                      <w:szCs w:val="21"/>
                    </w:rPr>
                    <w:t>m</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病理楼</w:t>
                  </w:r>
                </w:p>
              </w:tc>
              <w:tc>
                <w:tcPr>
                  <w:tcW w:w="6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公众</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医护人员、患者、流动人群</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东侧</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约20</w:t>
                  </w:r>
                  <w:r>
                    <w:rPr>
                      <w:rFonts w:hint="default" w:ascii="Times New Roman" w:hAnsi="Times New Roman" w:eastAsia="宋体" w:cs="Times New Roman"/>
                      <w:color w:val="auto"/>
                      <w:sz w:val="21"/>
                      <w:szCs w:val="21"/>
                    </w:rPr>
                    <w:t>m</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p>
              </w:tc>
              <w:tc>
                <w:tcPr>
                  <w:tcW w:w="116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血透中心</w:t>
                  </w:r>
                </w:p>
              </w:tc>
              <w:tc>
                <w:tcPr>
                  <w:tcW w:w="6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公众</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医护人员、患者、流动人群</w:t>
                  </w:r>
                </w:p>
              </w:tc>
              <w:tc>
                <w:tcPr>
                  <w:tcW w:w="1235"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rPr>
                    <w:t>人</w:t>
                  </w:r>
                </w:p>
              </w:tc>
              <w:tc>
                <w:tcPr>
                  <w:tcW w:w="1373"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东侧</w:t>
                  </w:r>
                </w:p>
              </w:tc>
              <w:tc>
                <w:tcPr>
                  <w:tcW w:w="1177"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约25</w:t>
                  </w:r>
                  <w:r>
                    <w:rPr>
                      <w:rFonts w:hint="default" w:ascii="Times New Roman" w:hAnsi="Times New Roman" w:eastAsia="宋体" w:cs="Times New Roman"/>
                      <w:color w:val="auto"/>
                      <w:sz w:val="21"/>
                      <w:szCs w:val="21"/>
                    </w:rPr>
                    <w:t>m</w:t>
                  </w:r>
                </w:p>
              </w:tc>
              <w:tc>
                <w:tcPr>
                  <w:tcW w:w="1168" w:type="dxa"/>
                  <w:vAlign w:val="center"/>
                </w:tcPr>
                <w:p>
                  <w:pPr>
                    <w:widowControl w:val="0"/>
                    <w:spacing w:line="240" w:lineRule="atLeast"/>
                    <w:ind w:left="-60" w:leftChars="-25" w:right="-60" w:rightChar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一致</w:t>
                  </w:r>
                </w:p>
              </w:tc>
            </w:tr>
          </w:tbl>
          <w:p>
            <w:pPr>
              <w:pStyle w:val="2"/>
              <w:numPr>
                <w:ilvl w:val="0"/>
                <w:numId w:val="0"/>
              </w:numPr>
              <w:ind w:firstLine="420" w:firstLineChars="200"/>
              <w:jc w:val="both"/>
              <w:rPr>
                <w:rFonts w:hint="default" w:ascii="Times New Roman" w:hAnsi="Times New Roman" w:eastAsia="宋体" w:cs="Times New Roman"/>
                <w:b/>
                <w:bCs/>
                <w:color w:val="auto"/>
                <w:sz w:val="21"/>
                <w:szCs w:val="21"/>
                <w:lang w:val="en-US" w:eastAsia="zh-CN"/>
              </w:rPr>
            </w:pPr>
            <w:r>
              <w:rPr>
                <w:rFonts w:hint="eastAsia"/>
                <w:b/>
                <w:bCs/>
                <w:snapToGrid w:val="0"/>
                <w:color w:val="auto"/>
                <w:sz w:val="21"/>
                <w:szCs w:val="21"/>
              </w:rPr>
              <w:t>备注：上表中方位与距离均以</w:t>
            </w:r>
            <w:r>
              <w:rPr>
                <w:rFonts w:hint="eastAsia"/>
                <w:b/>
                <w:bCs/>
                <w:snapToGrid w:val="0"/>
                <w:color w:val="auto"/>
                <w:sz w:val="21"/>
                <w:szCs w:val="21"/>
                <w:lang w:val="en-US" w:eastAsia="zh-CN"/>
              </w:rPr>
              <w:t>DSA</w:t>
            </w:r>
            <w:r>
              <w:rPr>
                <w:rFonts w:hint="eastAsia"/>
                <w:b/>
                <w:bCs/>
                <w:snapToGrid w:val="0"/>
                <w:color w:val="auto"/>
                <w:sz w:val="21"/>
                <w:szCs w:val="21"/>
                <w:lang w:eastAsia="zh-CN"/>
              </w:rPr>
              <w:t>扫描间</w:t>
            </w:r>
            <w:r>
              <w:rPr>
                <w:rFonts w:hint="eastAsia"/>
                <w:b/>
                <w:bCs/>
                <w:snapToGrid w:val="0"/>
                <w:color w:val="auto"/>
                <w:sz w:val="21"/>
                <w:szCs w:val="21"/>
              </w:rPr>
              <w:t>四周墙体</w:t>
            </w:r>
            <w:r>
              <w:rPr>
                <w:rFonts w:hint="eastAsia"/>
                <w:b/>
                <w:bCs/>
                <w:snapToGrid w:val="0"/>
                <w:color w:val="auto"/>
                <w:sz w:val="21"/>
                <w:szCs w:val="21"/>
                <w:lang w:val="en-US" w:eastAsia="zh-CN"/>
              </w:rPr>
              <w:t>和顶部外侧</w:t>
            </w:r>
            <w:r>
              <w:rPr>
                <w:rFonts w:hint="eastAsia"/>
                <w:b/>
                <w:bCs/>
                <w:snapToGrid w:val="0"/>
                <w:color w:val="auto"/>
                <w:sz w:val="21"/>
                <w:szCs w:val="21"/>
              </w:rPr>
              <w:t>为参照对象。</w:t>
            </w:r>
          </w:p>
          <w:p>
            <w:pPr>
              <w:pStyle w:val="2"/>
              <w:numPr>
                <w:ilvl w:val="0"/>
                <w:numId w:val="0"/>
              </w:numPr>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2.4 验收概况及规模</w:t>
            </w:r>
          </w:p>
          <w:p>
            <w:pPr>
              <w:keepNext w:val="0"/>
              <w:keepLines w:val="0"/>
              <w:widowControl/>
              <w:suppressLineNumbers w:val="0"/>
              <w:spacing w:line="360" w:lineRule="auto"/>
              <w:ind w:firstLine="480" w:firstLineChars="200"/>
              <w:jc w:val="left"/>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南京鼓楼医院集团安庆市石化医院于2021年5月28日取得安庆市生态环境局签发的宜环建函[2021]18号《安庆市生态环境局关于安庆市石化医院DSA项目环境影响报告表审查意见的函》予以批复，同意在</w:t>
            </w:r>
            <w:r>
              <w:rPr>
                <w:rFonts w:hint="eastAsia" w:ascii="宋体" w:hAnsi="宋体" w:eastAsia="宋体" w:cs="宋体"/>
                <w:color w:val="auto"/>
                <w:sz w:val="24"/>
                <w:szCs w:val="24"/>
                <w:lang w:val="en-US" w:eastAsia="zh-CN"/>
              </w:rPr>
              <w:t>南京鼓楼医院集团安庆市石化医院</w:t>
            </w:r>
            <w:r>
              <w:rPr>
                <w:rFonts w:hint="eastAsia" w:ascii="宋体" w:hAnsi="宋体" w:eastAsia="宋体" w:cs="宋体"/>
                <w:color w:val="auto"/>
                <w:kern w:val="2"/>
                <w:sz w:val="24"/>
                <w:szCs w:val="24"/>
                <w:lang w:val="en-US" w:eastAsia="zh-CN"/>
              </w:rPr>
              <w:t>影像中心一楼南侧建设导管室，安装DSA设备1台，用于心血管等介入治疗。本次验收与环评情况对照如下：</w:t>
            </w:r>
          </w:p>
          <w:p>
            <w:pPr>
              <w:pStyle w:val="2"/>
              <w:numPr>
                <w:ilvl w:val="0"/>
                <w:numId w:val="0"/>
              </w:numPr>
              <w:ind w:lef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环评</w:t>
            </w:r>
            <w:r>
              <w:rPr>
                <w:rFonts w:hint="eastAsia" w:ascii="Times New Roman"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验收</w:t>
            </w:r>
            <w:r>
              <w:rPr>
                <w:rFonts w:hint="eastAsia" w:ascii="Times New Roman" w:cs="Times New Roman"/>
                <w:b/>
                <w:bCs/>
                <w:color w:val="auto"/>
                <w:sz w:val="21"/>
                <w:szCs w:val="21"/>
                <w:lang w:val="en-US" w:eastAsia="zh-CN"/>
              </w:rPr>
              <w:t>项目建设</w:t>
            </w:r>
            <w:r>
              <w:rPr>
                <w:rFonts w:hint="default" w:ascii="Times New Roman" w:hAnsi="Times New Roman" w:eastAsia="宋体" w:cs="Times New Roman"/>
                <w:b/>
                <w:bCs/>
                <w:color w:val="auto"/>
                <w:sz w:val="21"/>
                <w:szCs w:val="21"/>
                <w:lang w:val="en-US" w:eastAsia="zh-CN"/>
              </w:rPr>
              <w:t>基本信息对照表</w:t>
            </w:r>
          </w:p>
          <w:tbl>
            <w:tblPr>
              <w:tblStyle w:val="39"/>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148"/>
              <w:gridCol w:w="1704"/>
              <w:gridCol w:w="868"/>
              <w:gridCol w:w="2348"/>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477" w:type="dxa"/>
                  <w:vAlign w:val="center"/>
                </w:tcPr>
                <w:p>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0"/>
                      <w:szCs w:val="20"/>
                      <w:lang w:val="en-US" w:eastAsia="zh-CN" w:bidi="ar"/>
                    </w:rPr>
                    <w:t>环评报告批</w:t>
                  </w:r>
                </w:p>
                <w:p>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0"/>
                      <w:szCs w:val="20"/>
                      <w:lang w:val="en-US" w:eastAsia="zh-CN" w:bidi="ar"/>
                    </w:rPr>
                    <w:t>复编号</w:t>
                  </w:r>
                </w:p>
              </w:tc>
              <w:tc>
                <w:tcPr>
                  <w:tcW w:w="7762" w:type="dxa"/>
                  <w:gridSpan w:val="5"/>
                  <w:vAlign w:val="center"/>
                </w:tcPr>
                <w:p>
                  <w:pPr>
                    <w:keepNext w:val="0"/>
                    <w:keepLines w:val="0"/>
                    <w:widowControl/>
                    <w:suppressLineNumbers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lang w:val="en-US" w:eastAsia="zh-CN"/>
                    </w:rPr>
                    <w:t>宜环建函[2021] 18号《安庆市生态环境局关于安庆市石化医院DSA项目环境影响报告表审查意见的函》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77" w:type="dxa"/>
                  <w:vAlign w:val="center"/>
                </w:tcPr>
                <w:p>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0"/>
                      <w:szCs w:val="20"/>
                      <w:lang w:val="en-US" w:eastAsia="zh-CN" w:bidi="ar"/>
                    </w:rPr>
                    <w:t>环评/验收</w:t>
                  </w:r>
                </w:p>
              </w:tc>
              <w:tc>
                <w:tcPr>
                  <w:tcW w:w="1148" w:type="dxa"/>
                  <w:vAlign w:val="center"/>
                </w:tcPr>
                <w:p>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0"/>
                      <w:szCs w:val="20"/>
                      <w:lang w:val="en-US" w:eastAsia="zh-CN" w:bidi="ar"/>
                    </w:rPr>
                    <w:t>设备名称</w:t>
                  </w:r>
                </w:p>
              </w:tc>
              <w:tc>
                <w:tcPr>
                  <w:tcW w:w="1704" w:type="dxa"/>
                  <w:vAlign w:val="center"/>
                </w:tcPr>
                <w:p>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0"/>
                      <w:szCs w:val="20"/>
                      <w:lang w:val="en-US" w:eastAsia="zh-CN" w:bidi="ar"/>
                    </w:rPr>
                    <w:t>型号</w:t>
                  </w:r>
                </w:p>
              </w:tc>
              <w:tc>
                <w:tcPr>
                  <w:tcW w:w="86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类型</w:t>
                  </w:r>
                </w:p>
              </w:tc>
              <w:tc>
                <w:tcPr>
                  <w:tcW w:w="234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项目场所</w:t>
                  </w:r>
                </w:p>
              </w:tc>
              <w:tc>
                <w:tcPr>
                  <w:tcW w:w="169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设备参数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477" w:type="dxa"/>
                  <w:vAlign w:val="center"/>
                </w:tcPr>
                <w:p>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0"/>
                      <w:szCs w:val="20"/>
                      <w:lang w:val="en-US" w:eastAsia="zh-CN" w:bidi="ar"/>
                    </w:rPr>
                    <w:t>环评情况</w:t>
                  </w:r>
                </w:p>
              </w:tc>
              <w:tc>
                <w:tcPr>
                  <w:tcW w:w="1148" w:type="dxa"/>
                  <w:vMerge w:val="restart"/>
                  <w:vAlign w:val="center"/>
                </w:tcPr>
                <w:p>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0"/>
                      <w:szCs w:val="20"/>
                      <w:lang w:val="en-US" w:eastAsia="zh-CN" w:bidi="ar"/>
                    </w:rPr>
                    <w:t>DSA</w:t>
                  </w:r>
                </w:p>
              </w:tc>
              <w:tc>
                <w:tcPr>
                  <w:tcW w:w="170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Innova-3100-IQ</w:t>
                  </w:r>
                </w:p>
              </w:tc>
              <w:tc>
                <w:tcPr>
                  <w:tcW w:w="868" w:type="dxa"/>
                  <w:vAlign w:val="center"/>
                </w:tcPr>
                <w:p>
                  <w:pPr>
                    <w:widowControl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Ⅱ</w:t>
                  </w:r>
                </w:p>
              </w:tc>
              <w:tc>
                <w:tcPr>
                  <w:tcW w:w="234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lang w:val="en-US" w:eastAsia="zh-CN"/>
                    </w:rPr>
                    <w:t>影像中心一楼南侧导管室</w:t>
                  </w:r>
                </w:p>
              </w:tc>
              <w:tc>
                <w:tcPr>
                  <w:tcW w:w="169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150kV/1000mA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477" w:type="dxa"/>
                  <w:vAlign w:val="center"/>
                </w:tcPr>
                <w:p>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0"/>
                      <w:szCs w:val="20"/>
                      <w:lang w:val="en-US" w:eastAsia="zh-CN" w:bidi="ar"/>
                    </w:rPr>
                    <w:t>验收详情</w:t>
                  </w:r>
                </w:p>
              </w:tc>
              <w:tc>
                <w:tcPr>
                  <w:tcW w:w="1148"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70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Innova-3100-IQ</w:t>
                  </w:r>
                </w:p>
              </w:tc>
              <w:tc>
                <w:tcPr>
                  <w:tcW w:w="868" w:type="dxa"/>
                  <w:vAlign w:val="center"/>
                </w:tcPr>
                <w:p>
                  <w:pPr>
                    <w:widowControl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Ⅱ</w:t>
                  </w:r>
                </w:p>
              </w:tc>
              <w:tc>
                <w:tcPr>
                  <w:tcW w:w="234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lang w:val="en-US" w:eastAsia="zh-CN"/>
                    </w:rPr>
                    <w:t>影像中心一楼南侧导管室</w:t>
                  </w:r>
                </w:p>
              </w:tc>
              <w:tc>
                <w:tcPr>
                  <w:tcW w:w="169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150kV/1000mA</w:t>
                  </w:r>
                </w:p>
              </w:tc>
            </w:tr>
          </w:tbl>
          <w:p>
            <w:pPr>
              <w:pStyle w:val="2"/>
              <w:numPr>
                <w:ilvl w:val="0"/>
                <w:numId w:val="0"/>
              </w:numPr>
              <w:ind w:lef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eastAsia" w:ascii="Times New Roman" w:cs="Times New Roman"/>
                <w:b/>
                <w:bCs/>
                <w:color w:val="auto"/>
                <w:sz w:val="21"/>
                <w:szCs w:val="21"/>
                <w:lang w:val="en-US" w:eastAsia="zh-CN"/>
              </w:rPr>
              <w:t>环评、验收内容对照表</w:t>
            </w:r>
          </w:p>
          <w:tbl>
            <w:tblPr>
              <w:tblStyle w:val="38"/>
              <w:tblW w:w="0" w:type="auto"/>
              <w:jc w:val="center"/>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57"/>
              <w:gridCol w:w="1164"/>
              <w:gridCol w:w="2958"/>
              <w:gridCol w:w="2874"/>
              <w:gridCol w:w="1365"/>
            </w:tblGrid>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1921" w:type="dxa"/>
                  <w:gridSpan w:val="2"/>
                  <w:tcBorders>
                    <w:top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r>
                    <w:rPr>
                      <w:color w:val="auto"/>
                      <w:sz w:val="21"/>
                      <w:szCs w:val="21"/>
                    </w:rPr>
                    <w:t>名称</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环评内容</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验收内容</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color w:val="auto"/>
                      <w:sz w:val="21"/>
                      <w:szCs w:val="21"/>
                      <w:lang w:eastAsia="zh-CN"/>
                    </w:rPr>
                  </w:pPr>
                  <w:r>
                    <w:rPr>
                      <w:rFonts w:hint="eastAsia" w:eastAsia="宋体"/>
                      <w:color w:val="auto"/>
                      <w:sz w:val="21"/>
                      <w:szCs w:val="21"/>
                      <w:lang w:eastAsia="zh-CN"/>
                    </w:rPr>
                    <w:t>与环评是否一致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757" w:type="dxa"/>
                  <w:vMerge w:val="restart"/>
                  <w:tcBorders>
                    <w:top w:val="single" w:color="auto" w:sz="8" w:space="0"/>
                    <w:left w:val="single" w:color="auto" w:sz="4" w:space="0"/>
                    <w:right w:val="single" w:color="auto" w:sz="8" w:space="0"/>
                  </w:tcBorders>
                  <w:noWrap w:val="0"/>
                  <w:vAlign w:val="center"/>
                </w:tcPr>
                <w:p>
                  <w:pPr>
                    <w:pStyle w:val="80"/>
                    <w:spacing w:before="0" w:before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DSA机房</w:t>
                  </w:r>
                </w:p>
              </w:tc>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四侧</w:t>
                  </w:r>
                  <w:r>
                    <w:rPr>
                      <w:color w:val="auto"/>
                      <w:sz w:val="21"/>
                      <w:szCs w:val="21"/>
                    </w:rPr>
                    <w:t>墙体</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四侧墙体为240</w:t>
                  </w:r>
                  <w:r>
                    <w:rPr>
                      <w:bCs/>
                      <w:color w:val="auto"/>
                      <w:sz w:val="21"/>
                      <w:szCs w:val="21"/>
                    </w:rPr>
                    <w:t>mm</w:t>
                  </w:r>
                  <w:r>
                    <w:rPr>
                      <w:rFonts w:hint="eastAsia"/>
                      <w:bCs/>
                      <w:color w:val="auto"/>
                      <w:sz w:val="21"/>
                      <w:szCs w:val="21"/>
                      <w:lang w:val="en-US" w:eastAsia="zh-CN"/>
                    </w:rPr>
                    <w:t>厚实心红砖墙+2</w:t>
                  </w:r>
                  <w:r>
                    <w:rPr>
                      <w:bCs/>
                      <w:color w:val="auto"/>
                      <w:sz w:val="21"/>
                      <w:szCs w:val="21"/>
                    </w:rPr>
                    <w:t>mmPb</w:t>
                  </w:r>
                  <w:r>
                    <w:rPr>
                      <w:rFonts w:hint="eastAsia"/>
                      <w:color w:val="auto"/>
                      <w:sz w:val="21"/>
                      <w:szCs w:val="21"/>
                      <w:lang w:eastAsia="zh-CN"/>
                    </w:rPr>
                    <w:t>硫酸钡涂料</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四侧墙体为240</w:t>
                  </w:r>
                  <w:r>
                    <w:rPr>
                      <w:bCs/>
                      <w:color w:val="auto"/>
                      <w:sz w:val="21"/>
                      <w:szCs w:val="21"/>
                    </w:rPr>
                    <w:t>mm</w:t>
                  </w:r>
                  <w:r>
                    <w:rPr>
                      <w:rFonts w:hint="eastAsia"/>
                      <w:bCs/>
                      <w:color w:val="auto"/>
                      <w:sz w:val="21"/>
                      <w:szCs w:val="21"/>
                      <w:lang w:val="en-US" w:eastAsia="zh-CN"/>
                    </w:rPr>
                    <w:t>厚实心红砖墙+2</w:t>
                  </w:r>
                  <w:r>
                    <w:rPr>
                      <w:bCs/>
                      <w:color w:val="auto"/>
                      <w:sz w:val="21"/>
                      <w:szCs w:val="21"/>
                    </w:rPr>
                    <w:t>mmPb</w:t>
                  </w:r>
                  <w:r>
                    <w:rPr>
                      <w:rFonts w:hint="eastAsia"/>
                      <w:color w:val="auto"/>
                      <w:sz w:val="21"/>
                      <w:szCs w:val="21"/>
                      <w:lang w:eastAsia="zh-CN"/>
                    </w:rPr>
                    <w:t>硫酸钡涂料</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eastAsia="宋体"/>
                      <w:bCs/>
                      <w:color w:val="auto"/>
                      <w:sz w:val="21"/>
                      <w:szCs w:val="21"/>
                      <w:lang w:eastAsia="zh-CN"/>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757" w:type="dxa"/>
                  <w:vMerge w:val="continue"/>
                  <w:tcBorders>
                    <w:left w:val="single" w:color="auto" w:sz="4" w:space="0"/>
                    <w:right w:val="single" w:color="auto" w:sz="8" w:space="0"/>
                  </w:tcBorders>
                  <w:noWrap w:val="0"/>
                  <w:vAlign w:val="center"/>
                </w:tcPr>
                <w:p>
                  <w:pPr>
                    <w:pStyle w:val="80"/>
                    <w:spacing w:before="0" w:beforeLines="0" w:line="240" w:lineRule="auto"/>
                    <w:ind w:firstLine="0" w:firstLineChars="0"/>
                    <w:jc w:val="center"/>
                    <w:rPr>
                      <w:rFonts w:hint="eastAsia" w:eastAsia="宋体"/>
                      <w:color w:val="auto"/>
                      <w:sz w:val="21"/>
                      <w:szCs w:val="21"/>
                      <w:lang w:eastAsia="zh-CN"/>
                    </w:rPr>
                  </w:pPr>
                </w:p>
              </w:tc>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r>
                    <w:rPr>
                      <w:color w:val="auto"/>
                      <w:sz w:val="21"/>
                      <w:szCs w:val="21"/>
                    </w:rPr>
                    <w:t>顶</w:t>
                  </w:r>
                  <w:r>
                    <w:rPr>
                      <w:rFonts w:hint="eastAsia"/>
                      <w:color w:val="auto"/>
                      <w:sz w:val="21"/>
                      <w:szCs w:val="21"/>
                      <w:lang w:eastAsia="zh-CN"/>
                    </w:rPr>
                    <w:t>面</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jc w:val="center"/>
                    <w:rPr>
                      <w:color w:val="auto"/>
                      <w:szCs w:val="21"/>
                    </w:rPr>
                  </w:pPr>
                  <w:r>
                    <w:rPr>
                      <w:rFonts w:hint="eastAsia"/>
                      <w:bCs/>
                      <w:color w:val="auto"/>
                      <w:sz w:val="21"/>
                      <w:szCs w:val="21"/>
                      <w:lang w:val="en-US" w:eastAsia="zh-CN"/>
                    </w:rPr>
                    <w:t>20</w:t>
                  </w:r>
                  <w:r>
                    <w:rPr>
                      <w:rFonts w:hint="eastAsia"/>
                      <w:bCs/>
                      <w:color w:val="auto"/>
                      <w:sz w:val="21"/>
                      <w:szCs w:val="21"/>
                    </w:rPr>
                    <w:t>0mm厚</w:t>
                  </w:r>
                  <w:r>
                    <w:rPr>
                      <w:rFonts w:hint="eastAsia"/>
                      <w:bCs/>
                      <w:color w:val="auto"/>
                      <w:sz w:val="21"/>
                      <w:szCs w:val="21"/>
                      <w:lang w:eastAsia="zh-CN"/>
                    </w:rPr>
                    <w:t>钢筋</w:t>
                  </w:r>
                  <w:r>
                    <w:rPr>
                      <w:rFonts w:hint="eastAsia"/>
                      <w:bCs/>
                      <w:color w:val="auto"/>
                      <w:sz w:val="21"/>
                      <w:szCs w:val="21"/>
                    </w:rPr>
                    <w:t>混凝土+</w:t>
                  </w:r>
                  <w:r>
                    <w:rPr>
                      <w:rFonts w:hint="eastAsia"/>
                      <w:bCs/>
                      <w:color w:val="auto"/>
                      <w:sz w:val="21"/>
                      <w:szCs w:val="21"/>
                      <w:lang w:val="en-US" w:eastAsia="zh-CN"/>
                    </w:rPr>
                    <w:t>2</w:t>
                  </w:r>
                  <w:r>
                    <w:rPr>
                      <w:bCs/>
                      <w:color w:val="auto"/>
                      <w:sz w:val="21"/>
                      <w:szCs w:val="21"/>
                    </w:rPr>
                    <w:t>mmPb</w:t>
                  </w:r>
                  <w:r>
                    <w:rPr>
                      <w:rFonts w:hint="eastAsia"/>
                      <w:color w:val="auto"/>
                      <w:sz w:val="21"/>
                      <w:szCs w:val="21"/>
                      <w:lang w:eastAsia="zh-CN"/>
                    </w:rPr>
                    <w:t>硫酸钡涂料</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jc w:val="center"/>
                    <w:rPr>
                      <w:rFonts w:hint="default" w:eastAsia="宋体"/>
                      <w:bCs/>
                      <w:color w:val="auto"/>
                      <w:sz w:val="21"/>
                      <w:szCs w:val="21"/>
                      <w:lang w:val="en-US" w:eastAsia="zh-CN"/>
                    </w:rPr>
                  </w:pPr>
                  <w:r>
                    <w:rPr>
                      <w:rFonts w:hint="eastAsia"/>
                      <w:bCs/>
                      <w:color w:val="auto"/>
                      <w:sz w:val="21"/>
                      <w:szCs w:val="21"/>
                      <w:lang w:val="en-US" w:eastAsia="zh-CN"/>
                    </w:rPr>
                    <w:t>20</w:t>
                  </w:r>
                  <w:r>
                    <w:rPr>
                      <w:rFonts w:hint="eastAsia"/>
                      <w:bCs/>
                      <w:color w:val="auto"/>
                      <w:sz w:val="21"/>
                      <w:szCs w:val="21"/>
                    </w:rPr>
                    <w:t>0mm厚</w:t>
                  </w:r>
                  <w:r>
                    <w:rPr>
                      <w:rFonts w:hint="eastAsia"/>
                      <w:bCs/>
                      <w:color w:val="auto"/>
                      <w:sz w:val="21"/>
                      <w:szCs w:val="21"/>
                      <w:lang w:eastAsia="zh-CN"/>
                    </w:rPr>
                    <w:t>钢筋</w:t>
                  </w:r>
                  <w:r>
                    <w:rPr>
                      <w:rFonts w:hint="eastAsia"/>
                      <w:bCs/>
                      <w:color w:val="auto"/>
                      <w:sz w:val="21"/>
                      <w:szCs w:val="21"/>
                    </w:rPr>
                    <w:t>混凝土+</w:t>
                  </w:r>
                  <w:r>
                    <w:rPr>
                      <w:rFonts w:hint="eastAsia"/>
                      <w:bCs/>
                      <w:color w:val="auto"/>
                      <w:sz w:val="21"/>
                      <w:szCs w:val="21"/>
                      <w:lang w:val="en-US" w:eastAsia="zh-CN"/>
                    </w:rPr>
                    <w:t>2</w:t>
                  </w:r>
                  <w:r>
                    <w:rPr>
                      <w:bCs/>
                      <w:color w:val="auto"/>
                      <w:sz w:val="21"/>
                      <w:szCs w:val="21"/>
                    </w:rPr>
                    <w:t>mmPb</w:t>
                  </w:r>
                  <w:r>
                    <w:rPr>
                      <w:rFonts w:hint="eastAsia"/>
                      <w:color w:val="auto"/>
                      <w:sz w:val="21"/>
                      <w:szCs w:val="21"/>
                      <w:lang w:eastAsia="zh-CN"/>
                    </w:rPr>
                    <w:t>硫酸钡涂料</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jc w:val="center"/>
                    <w:rPr>
                      <w:bCs/>
                      <w:color w:val="auto"/>
                      <w:sz w:val="21"/>
                      <w:szCs w:val="21"/>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757" w:type="dxa"/>
                  <w:vMerge w:val="continue"/>
                  <w:tcBorders>
                    <w:left w:val="single" w:color="auto" w:sz="4"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p>
              </w:tc>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铅</w:t>
                  </w:r>
                  <w:r>
                    <w:rPr>
                      <w:color w:val="auto"/>
                      <w:sz w:val="21"/>
                      <w:szCs w:val="21"/>
                    </w:rPr>
                    <w:t>防护门</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sz w:val="21"/>
                      <w:szCs w:val="21"/>
                      <w:lang w:eastAsia="zh-CN"/>
                    </w:rPr>
                  </w:pPr>
                  <w:r>
                    <w:rPr>
                      <w:rFonts w:hint="eastAsia"/>
                      <w:bCs/>
                      <w:color w:val="auto"/>
                      <w:sz w:val="21"/>
                      <w:szCs w:val="21"/>
                      <w:lang w:val="en-US" w:eastAsia="zh-CN"/>
                    </w:rPr>
                    <w:t>共3扇，4</w:t>
                  </w:r>
                  <w:r>
                    <w:rPr>
                      <w:rFonts w:hint="eastAsia"/>
                      <w:bCs/>
                      <w:color w:val="auto"/>
                      <w:sz w:val="21"/>
                      <w:szCs w:val="21"/>
                    </w:rPr>
                    <w:t>.</w:t>
                  </w:r>
                  <w:r>
                    <w:rPr>
                      <w:rFonts w:hint="eastAsia"/>
                      <w:bCs/>
                      <w:color w:val="auto"/>
                      <w:sz w:val="21"/>
                      <w:szCs w:val="21"/>
                      <w:lang w:val="en-US" w:eastAsia="zh-CN"/>
                    </w:rPr>
                    <w:t>0</w:t>
                  </w:r>
                  <w:r>
                    <w:rPr>
                      <w:bCs/>
                      <w:color w:val="auto"/>
                      <w:sz w:val="21"/>
                      <w:szCs w:val="21"/>
                    </w:rPr>
                    <w:t>mm</w:t>
                  </w:r>
                  <w:r>
                    <w:rPr>
                      <w:rFonts w:hint="eastAsia"/>
                      <w:bCs/>
                      <w:color w:val="auto"/>
                      <w:sz w:val="21"/>
                      <w:szCs w:val="21"/>
                    </w:rPr>
                    <w:t>Pb铅板</w:t>
                  </w:r>
                  <w:r>
                    <w:rPr>
                      <w:rFonts w:hint="eastAsia"/>
                      <w:bCs/>
                      <w:color w:val="auto"/>
                      <w:sz w:val="21"/>
                      <w:szCs w:val="21"/>
                      <w:lang w:val="en-US" w:eastAsia="zh-CN"/>
                    </w:rPr>
                    <w:t>+锈钢</w:t>
                  </w:r>
                  <w:r>
                    <w:rPr>
                      <w:rFonts w:hint="eastAsia"/>
                      <w:bCs/>
                      <w:color w:val="auto"/>
                      <w:sz w:val="21"/>
                      <w:szCs w:val="21"/>
                      <w:lang w:eastAsia="zh-CN"/>
                    </w:rPr>
                    <w:t>板覆面（</w:t>
                  </w:r>
                  <w:r>
                    <w:rPr>
                      <w:rFonts w:hint="eastAsia"/>
                      <w:bCs/>
                      <w:color w:val="auto"/>
                      <w:sz w:val="21"/>
                      <w:szCs w:val="21"/>
                      <w:lang w:val="en-US" w:eastAsia="zh-CN"/>
                    </w:rPr>
                    <w:t>锈钢</w:t>
                  </w:r>
                  <w:r>
                    <w:rPr>
                      <w:rFonts w:hint="eastAsia"/>
                      <w:bCs/>
                      <w:color w:val="auto"/>
                      <w:sz w:val="21"/>
                      <w:szCs w:val="21"/>
                      <w:lang w:eastAsia="zh-CN"/>
                    </w:rPr>
                    <w:t>板以</w:t>
                  </w:r>
                  <w:r>
                    <w:rPr>
                      <w:rFonts w:hint="eastAsia"/>
                      <w:bCs/>
                      <w:color w:val="auto"/>
                      <w:sz w:val="21"/>
                      <w:szCs w:val="21"/>
                      <w:lang w:val="en-US" w:eastAsia="zh-CN"/>
                    </w:rPr>
                    <w:t>2.5mm计）</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eastAsia"/>
                      <w:bCs/>
                      <w:color w:val="auto"/>
                      <w:sz w:val="21"/>
                      <w:szCs w:val="21"/>
                      <w:lang w:val="en-US" w:eastAsia="zh-CN"/>
                    </w:rPr>
                    <w:t>共3扇，4</w:t>
                  </w:r>
                  <w:r>
                    <w:rPr>
                      <w:rFonts w:hint="eastAsia"/>
                      <w:bCs/>
                      <w:color w:val="auto"/>
                      <w:sz w:val="21"/>
                      <w:szCs w:val="21"/>
                    </w:rPr>
                    <w:t>.</w:t>
                  </w:r>
                  <w:r>
                    <w:rPr>
                      <w:rFonts w:hint="eastAsia"/>
                      <w:bCs/>
                      <w:color w:val="auto"/>
                      <w:sz w:val="21"/>
                      <w:szCs w:val="21"/>
                      <w:lang w:val="en-US" w:eastAsia="zh-CN"/>
                    </w:rPr>
                    <w:t>0</w:t>
                  </w:r>
                  <w:r>
                    <w:rPr>
                      <w:bCs/>
                      <w:color w:val="auto"/>
                      <w:sz w:val="21"/>
                      <w:szCs w:val="21"/>
                    </w:rPr>
                    <w:t>mm</w:t>
                  </w:r>
                  <w:r>
                    <w:rPr>
                      <w:rFonts w:hint="eastAsia"/>
                      <w:bCs/>
                      <w:color w:val="auto"/>
                      <w:sz w:val="21"/>
                      <w:szCs w:val="21"/>
                    </w:rPr>
                    <w:t>Pb铅板</w:t>
                  </w:r>
                  <w:r>
                    <w:rPr>
                      <w:rFonts w:hint="eastAsia"/>
                      <w:bCs/>
                      <w:color w:val="auto"/>
                      <w:sz w:val="21"/>
                      <w:szCs w:val="21"/>
                      <w:lang w:val="en-US" w:eastAsia="zh-CN"/>
                    </w:rPr>
                    <w:t>+锈钢</w:t>
                  </w:r>
                  <w:r>
                    <w:rPr>
                      <w:rFonts w:hint="eastAsia"/>
                      <w:bCs/>
                      <w:color w:val="auto"/>
                      <w:sz w:val="21"/>
                      <w:szCs w:val="21"/>
                      <w:lang w:eastAsia="zh-CN"/>
                    </w:rPr>
                    <w:t>板覆面（</w:t>
                  </w:r>
                  <w:r>
                    <w:rPr>
                      <w:rFonts w:hint="eastAsia"/>
                      <w:bCs/>
                      <w:color w:val="auto"/>
                      <w:sz w:val="21"/>
                      <w:szCs w:val="21"/>
                      <w:lang w:val="en-US" w:eastAsia="zh-CN"/>
                    </w:rPr>
                    <w:t>锈钢</w:t>
                  </w:r>
                  <w:r>
                    <w:rPr>
                      <w:rFonts w:hint="eastAsia"/>
                      <w:bCs/>
                      <w:color w:val="auto"/>
                      <w:sz w:val="21"/>
                      <w:szCs w:val="21"/>
                      <w:lang w:eastAsia="zh-CN"/>
                    </w:rPr>
                    <w:t>板以</w:t>
                  </w:r>
                  <w:r>
                    <w:rPr>
                      <w:rFonts w:hint="eastAsia"/>
                      <w:bCs/>
                      <w:color w:val="auto"/>
                      <w:sz w:val="21"/>
                      <w:szCs w:val="21"/>
                      <w:lang w:val="en-US" w:eastAsia="zh-CN"/>
                    </w:rPr>
                    <w:t>2.5mm计）</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757" w:type="dxa"/>
                  <w:vMerge w:val="continue"/>
                  <w:tcBorders>
                    <w:left w:val="single" w:color="auto" w:sz="4"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p>
              </w:tc>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铅</w:t>
                  </w:r>
                  <w:r>
                    <w:rPr>
                      <w:color w:val="auto"/>
                      <w:sz w:val="21"/>
                      <w:szCs w:val="21"/>
                    </w:rPr>
                    <w:t>观察窗</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eastAsia"/>
                      <w:bCs/>
                      <w:color w:val="auto"/>
                      <w:sz w:val="21"/>
                      <w:szCs w:val="21"/>
                      <w:lang w:val="en-US" w:eastAsia="zh-CN"/>
                    </w:rPr>
                    <w:t>4</w:t>
                  </w:r>
                  <w:r>
                    <w:rPr>
                      <w:bCs/>
                      <w:color w:val="auto"/>
                      <w:sz w:val="21"/>
                      <w:szCs w:val="21"/>
                    </w:rPr>
                    <w:t>mmPb铅</w:t>
                  </w:r>
                  <w:r>
                    <w:rPr>
                      <w:rFonts w:hint="eastAsia"/>
                      <w:bCs/>
                      <w:color w:val="auto"/>
                      <w:sz w:val="21"/>
                      <w:szCs w:val="21"/>
                    </w:rPr>
                    <w:t>玻璃观察窗</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eastAsia"/>
                      <w:bCs/>
                      <w:color w:val="auto"/>
                      <w:sz w:val="21"/>
                      <w:szCs w:val="21"/>
                      <w:lang w:val="en-US" w:eastAsia="zh-CN"/>
                    </w:rPr>
                    <w:t>4</w:t>
                  </w:r>
                  <w:r>
                    <w:rPr>
                      <w:bCs/>
                      <w:color w:val="auto"/>
                      <w:sz w:val="21"/>
                      <w:szCs w:val="21"/>
                    </w:rPr>
                    <w:t>mmPb铅</w:t>
                  </w:r>
                  <w:r>
                    <w:rPr>
                      <w:rFonts w:hint="eastAsia"/>
                      <w:bCs/>
                      <w:color w:val="auto"/>
                      <w:sz w:val="21"/>
                      <w:szCs w:val="21"/>
                    </w:rPr>
                    <w:t>玻璃观察窗</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946" w:hRule="atLeast"/>
                <w:jc w:val="center"/>
              </w:trPr>
              <w:tc>
                <w:tcPr>
                  <w:tcW w:w="757" w:type="dxa"/>
                  <w:vMerge w:val="continue"/>
                  <w:tcBorders>
                    <w:left w:val="single" w:color="auto" w:sz="4" w:space="0"/>
                    <w:right w:val="single" w:color="auto" w:sz="8" w:space="0"/>
                  </w:tcBorders>
                  <w:noWrap w:val="0"/>
                  <w:vAlign w:val="center"/>
                </w:tcPr>
                <w:p>
                  <w:pPr>
                    <w:pStyle w:val="80"/>
                    <w:spacing w:before="0" w:beforeLines="0" w:line="240" w:lineRule="auto"/>
                    <w:ind w:firstLine="0" w:firstLineChars="0"/>
                    <w:jc w:val="center"/>
                    <w:rPr>
                      <w:rFonts w:hint="eastAsia" w:eastAsia="宋体"/>
                      <w:color w:val="auto"/>
                      <w:sz w:val="21"/>
                      <w:szCs w:val="21"/>
                      <w:lang w:eastAsia="zh-CN"/>
                    </w:rPr>
                  </w:pPr>
                </w:p>
              </w:tc>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个人防护用品</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sz w:val="21"/>
                      <w:szCs w:val="21"/>
                      <w:lang w:eastAsia="zh-CN"/>
                    </w:rPr>
                  </w:pPr>
                  <w:r>
                    <w:rPr>
                      <w:rFonts w:hint="eastAsia" w:eastAsia="宋体"/>
                      <w:bCs/>
                      <w:color w:val="auto"/>
                      <w:kern w:val="2"/>
                      <w:sz w:val="21"/>
                      <w:szCs w:val="21"/>
                      <w:lang w:val="en-US" w:eastAsia="zh-CN" w:bidi="ar-SA"/>
                    </w:rPr>
                    <w:t>4件铅方巾、4顶铅橡胶帽、3件铅橡胶围脖、2副铅防护眼镜、2副铅手套</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default" w:ascii="Times New Roman" w:hAnsi="Times New Roman" w:eastAsia="宋体" w:cs="Times New Roman"/>
                      <w:bCs/>
                      <w:color w:val="auto"/>
                      <w:kern w:val="2"/>
                      <w:sz w:val="21"/>
                      <w:szCs w:val="21"/>
                      <w:lang w:val="en-US" w:eastAsia="zh-CN" w:bidi="ar-SA"/>
                    </w:rPr>
                    <w:t>4件铅方巾、4顶铅橡胶帽、</w:t>
                  </w:r>
                  <w:r>
                    <w:rPr>
                      <w:rFonts w:hint="eastAsia" w:ascii="Times New Roman" w:hAnsi="Times New Roman" w:eastAsia="宋体" w:cs="Times New Roman"/>
                      <w:bCs/>
                      <w:color w:val="auto"/>
                      <w:kern w:val="2"/>
                      <w:sz w:val="21"/>
                      <w:szCs w:val="21"/>
                      <w:lang w:val="en-US" w:eastAsia="zh-CN" w:bidi="ar-SA"/>
                    </w:rPr>
                    <w:t>6</w:t>
                  </w:r>
                  <w:r>
                    <w:rPr>
                      <w:rFonts w:hint="default" w:ascii="Times New Roman" w:hAnsi="Times New Roman" w:eastAsia="宋体" w:cs="Times New Roman"/>
                      <w:bCs/>
                      <w:color w:val="auto"/>
                      <w:kern w:val="2"/>
                      <w:sz w:val="21"/>
                      <w:szCs w:val="21"/>
                      <w:lang w:val="en-US" w:eastAsia="zh-CN" w:bidi="ar-SA"/>
                    </w:rPr>
                    <w:t>件铅橡胶围脖、</w:t>
                  </w:r>
                  <w:r>
                    <w:rPr>
                      <w:rFonts w:hint="eastAsia" w:ascii="Times New Roman" w:hAnsi="Times New Roman" w:eastAsia="宋体" w:cs="Times New Roman"/>
                      <w:bCs/>
                      <w:color w:val="auto"/>
                      <w:kern w:val="2"/>
                      <w:sz w:val="21"/>
                      <w:szCs w:val="21"/>
                      <w:lang w:val="en-US" w:eastAsia="zh-CN" w:bidi="ar-SA"/>
                    </w:rPr>
                    <w:t>6</w:t>
                  </w:r>
                  <w:r>
                    <w:rPr>
                      <w:rFonts w:hint="default" w:ascii="Times New Roman" w:hAnsi="Times New Roman" w:eastAsia="宋体" w:cs="Times New Roman"/>
                      <w:bCs/>
                      <w:color w:val="auto"/>
                      <w:kern w:val="2"/>
                      <w:sz w:val="21"/>
                      <w:szCs w:val="21"/>
                      <w:lang w:val="en-US" w:eastAsia="zh-CN" w:bidi="ar-SA"/>
                    </w:rPr>
                    <w:t>副铅防护眼镜、</w:t>
                  </w:r>
                  <w:r>
                    <w:rPr>
                      <w:rFonts w:hint="eastAsia" w:ascii="Times New Roman" w:hAnsi="Times New Roman" w:eastAsia="宋体" w:cs="Times New Roman"/>
                      <w:bCs/>
                      <w:color w:val="auto"/>
                      <w:kern w:val="2"/>
                      <w:sz w:val="21"/>
                      <w:szCs w:val="21"/>
                      <w:lang w:val="en-US" w:eastAsia="zh-CN" w:bidi="ar-SA"/>
                    </w:rPr>
                    <w:t>5</w:t>
                  </w:r>
                  <w:r>
                    <w:rPr>
                      <w:rFonts w:hint="default" w:ascii="Times New Roman" w:hAnsi="Times New Roman" w:eastAsia="宋体" w:cs="Times New Roman"/>
                      <w:bCs/>
                      <w:color w:val="auto"/>
                      <w:kern w:val="2"/>
                      <w:sz w:val="21"/>
                      <w:szCs w:val="21"/>
                      <w:lang w:val="en-US" w:eastAsia="zh-CN" w:bidi="ar-SA"/>
                    </w:rPr>
                    <w:t>副铅手套</w:t>
                  </w:r>
                  <w:r>
                    <w:rPr>
                      <w:rFonts w:hint="eastAsia" w:ascii="Times New Roman" w:hAnsi="Times New Roman" w:eastAsia="宋体" w:cs="Times New Roman"/>
                      <w:bCs/>
                      <w:color w:val="auto"/>
                      <w:kern w:val="2"/>
                      <w:sz w:val="21"/>
                      <w:szCs w:val="21"/>
                      <w:lang w:val="en-US" w:eastAsia="zh-CN" w:bidi="ar-SA"/>
                    </w:rPr>
                    <w:t>、6件铅衣</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eastAsia="宋体"/>
                      <w:bCs/>
                      <w:color w:val="auto"/>
                      <w:sz w:val="21"/>
                      <w:szCs w:val="21"/>
                      <w:lang w:val="en-US" w:eastAsia="zh-CN"/>
                    </w:rPr>
                  </w:pPr>
                  <w:r>
                    <w:rPr>
                      <w:rFonts w:hint="eastAsia" w:cs="Times New Roman"/>
                      <w:bCs/>
                      <w:color w:val="auto"/>
                      <w:kern w:val="2"/>
                      <w:sz w:val="21"/>
                      <w:szCs w:val="21"/>
                      <w:lang w:val="en-US" w:eastAsia="zh-CN" w:bidi="ar-SA"/>
                    </w:rPr>
                    <w:t>新增3</w:t>
                  </w:r>
                  <w:r>
                    <w:rPr>
                      <w:rFonts w:hint="default" w:ascii="Times New Roman" w:hAnsi="Times New Roman" w:eastAsia="宋体" w:cs="Times New Roman"/>
                      <w:bCs/>
                      <w:color w:val="auto"/>
                      <w:kern w:val="2"/>
                      <w:sz w:val="21"/>
                      <w:szCs w:val="21"/>
                      <w:lang w:val="en-US" w:eastAsia="zh-CN" w:bidi="ar-SA"/>
                    </w:rPr>
                    <w:t>件铅橡胶围脖、</w:t>
                  </w:r>
                  <w:r>
                    <w:rPr>
                      <w:rFonts w:hint="eastAsia" w:cs="Times New Roman"/>
                      <w:bCs/>
                      <w:color w:val="auto"/>
                      <w:kern w:val="2"/>
                      <w:sz w:val="21"/>
                      <w:szCs w:val="21"/>
                      <w:lang w:val="en-US" w:eastAsia="zh-CN" w:bidi="ar-SA"/>
                    </w:rPr>
                    <w:t>4</w:t>
                  </w:r>
                  <w:r>
                    <w:rPr>
                      <w:rFonts w:hint="default" w:ascii="Times New Roman" w:hAnsi="Times New Roman" w:eastAsia="宋体" w:cs="Times New Roman"/>
                      <w:bCs/>
                      <w:color w:val="auto"/>
                      <w:kern w:val="2"/>
                      <w:sz w:val="21"/>
                      <w:szCs w:val="21"/>
                      <w:lang w:val="en-US" w:eastAsia="zh-CN" w:bidi="ar-SA"/>
                    </w:rPr>
                    <w:t>副铅防护眼镜、</w:t>
                  </w:r>
                  <w:r>
                    <w:rPr>
                      <w:rFonts w:hint="eastAsia" w:cs="Times New Roman"/>
                      <w:bCs/>
                      <w:color w:val="auto"/>
                      <w:kern w:val="2"/>
                      <w:sz w:val="21"/>
                      <w:szCs w:val="21"/>
                      <w:lang w:val="en-US" w:eastAsia="zh-CN" w:bidi="ar-SA"/>
                    </w:rPr>
                    <w:t>3</w:t>
                  </w:r>
                  <w:r>
                    <w:rPr>
                      <w:rFonts w:hint="default" w:ascii="Times New Roman" w:hAnsi="Times New Roman" w:eastAsia="宋体" w:cs="Times New Roman"/>
                      <w:bCs/>
                      <w:color w:val="auto"/>
                      <w:kern w:val="2"/>
                      <w:sz w:val="21"/>
                      <w:szCs w:val="21"/>
                      <w:lang w:val="en-US" w:eastAsia="zh-CN" w:bidi="ar-SA"/>
                    </w:rPr>
                    <w:t>副铅手套</w:t>
                  </w:r>
                  <w:r>
                    <w:rPr>
                      <w:rFonts w:hint="eastAsia" w:ascii="Times New Roman" w:hAnsi="Times New Roman" w:eastAsia="宋体" w:cs="Times New Roman"/>
                      <w:bCs/>
                      <w:color w:val="auto"/>
                      <w:kern w:val="2"/>
                      <w:sz w:val="21"/>
                      <w:szCs w:val="21"/>
                      <w:lang w:val="en-US" w:eastAsia="zh-CN" w:bidi="ar-SA"/>
                    </w:rPr>
                    <w:t>、6件铅衣。</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757" w:type="dxa"/>
                  <w:vMerge w:val="continue"/>
                  <w:tcBorders>
                    <w:left w:val="single" w:color="auto" w:sz="4" w:space="0"/>
                    <w:right w:val="single" w:color="auto" w:sz="8" w:space="0"/>
                  </w:tcBorders>
                  <w:noWrap w:val="0"/>
                  <w:vAlign w:val="center"/>
                </w:tcPr>
                <w:p>
                  <w:pPr>
                    <w:spacing w:before="0" w:beforeLines="0" w:line="240" w:lineRule="auto"/>
                    <w:ind w:firstLine="0" w:firstLineChars="0"/>
                    <w:jc w:val="center"/>
                    <w:rPr>
                      <w:rFonts w:hint="eastAsia"/>
                      <w:color w:val="auto"/>
                      <w:sz w:val="21"/>
                      <w:szCs w:val="21"/>
                      <w:lang w:eastAsia="zh-CN"/>
                    </w:rPr>
                  </w:pPr>
                </w:p>
              </w:tc>
              <w:tc>
                <w:tcPr>
                  <w:tcW w:w="1164" w:type="dxa"/>
                  <w:tcBorders>
                    <w:top w:val="single" w:color="auto" w:sz="8" w:space="0"/>
                    <w:left w:val="single" w:color="auto" w:sz="4"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cs="Times New Roman"/>
                      <w:color w:val="auto"/>
                      <w:lang w:val="en-US" w:eastAsia="zh-CN"/>
                    </w:rPr>
                  </w:pPr>
                  <w:r>
                    <w:rPr>
                      <w:rFonts w:hint="eastAsia" w:cs="Times New Roman"/>
                      <w:color w:val="auto"/>
                      <w:lang w:val="en-US" w:eastAsia="zh-CN"/>
                    </w:rPr>
                    <w:t>辐射检测设备</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color w:val="auto"/>
                      <w:sz w:val="21"/>
                      <w:szCs w:val="21"/>
                      <w:lang w:eastAsia="zh-CN"/>
                    </w:rPr>
                  </w:pPr>
                  <w:r>
                    <w:rPr>
                      <w:rFonts w:hint="eastAsia" w:cs="Times New Roman"/>
                      <w:color w:val="auto"/>
                      <w:lang w:val="en-US" w:eastAsia="zh-CN"/>
                    </w:rPr>
                    <w:t>辐射巡检仪1台</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新</w:t>
                  </w:r>
                  <w:r>
                    <w:rPr>
                      <w:rFonts w:hint="eastAsia" w:ascii="Times New Roman" w:hAnsi="Times New Roman" w:eastAsia="宋体" w:cs="Times New Roman"/>
                      <w:bCs/>
                      <w:color w:val="auto"/>
                      <w:kern w:val="2"/>
                      <w:sz w:val="21"/>
                      <w:szCs w:val="21"/>
                      <w:lang w:val="en-US" w:eastAsia="zh-CN" w:bidi="ar-SA"/>
                    </w:rPr>
                    <w:t>增辐射巡检仪1台</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757" w:type="dxa"/>
                  <w:vMerge w:val="continue"/>
                  <w:tcBorders>
                    <w:left w:val="single" w:color="auto" w:sz="4"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p>
              </w:tc>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机房有效使用面积</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kern w:val="2"/>
                      <w:sz w:val="21"/>
                      <w:szCs w:val="21"/>
                      <w:lang w:val="en-US" w:eastAsia="zh-CN" w:bidi="ar-SA"/>
                    </w:rPr>
                  </w:pPr>
                  <w:r>
                    <w:rPr>
                      <w:rFonts w:hint="eastAsia" w:eastAsia="宋体"/>
                      <w:bCs/>
                      <w:color w:val="auto"/>
                      <w:kern w:val="2"/>
                      <w:sz w:val="21"/>
                      <w:szCs w:val="21"/>
                      <w:lang w:val="en-US" w:eastAsia="zh-CN" w:bidi="ar-SA"/>
                    </w:rPr>
                    <w:t>42.7</w:t>
                  </w:r>
                  <w:r>
                    <w:rPr>
                      <w:bCs/>
                      <w:color w:val="auto"/>
                      <w:sz w:val="21"/>
                      <w:szCs w:val="21"/>
                    </w:rPr>
                    <w:t>m</w:t>
                  </w:r>
                  <w:r>
                    <w:rPr>
                      <w:rFonts w:hint="eastAsia"/>
                      <w:bCs/>
                      <w:color w:val="auto"/>
                      <w:sz w:val="21"/>
                      <w:szCs w:val="21"/>
                      <w:vertAlign w:val="superscript"/>
                      <w:lang w:val="en-US" w:eastAsia="zh-CN"/>
                    </w:rPr>
                    <w:t>2</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eastAsia" w:eastAsia="宋体"/>
                      <w:bCs/>
                      <w:color w:val="auto"/>
                      <w:kern w:val="2"/>
                      <w:sz w:val="21"/>
                      <w:szCs w:val="21"/>
                      <w:lang w:val="en-US" w:eastAsia="zh-CN" w:bidi="ar-SA"/>
                    </w:rPr>
                    <w:t>42.7</w:t>
                  </w:r>
                  <w:r>
                    <w:rPr>
                      <w:bCs/>
                      <w:color w:val="auto"/>
                      <w:sz w:val="21"/>
                      <w:szCs w:val="21"/>
                    </w:rPr>
                    <w:t>m</w:t>
                  </w:r>
                  <w:r>
                    <w:rPr>
                      <w:rFonts w:hint="eastAsia"/>
                      <w:bCs/>
                      <w:color w:val="auto"/>
                      <w:sz w:val="21"/>
                      <w:szCs w:val="21"/>
                      <w:vertAlign w:val="superscript"/>
                      <w:lang w:val="en-US" w:eastAsia="zh-CN"/>
                    </w:rPr>
                    <w:t>2</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757" w:type="dxa"/>
                  <w:vMerge w:val="continue"/>
                  <w:tcBorders>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p>
              </w:tc>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单边长度</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default" w:eastAsia="宋体"/>
                      <w:bCs/>
                      <w:color w:val="auto"/>
                      <w:kern w:val="2"/>
                      <w:sz w:val="21"/>
                      <w:szCs w:val="21"/>
                      <w:lang w:val="en-US" w:eastAsia="zh-CN" w:bidi="ar-SA"/>
                    </w:rPr>
                  </w:pPr>
                  <w:r>
                    <w:rPr>
                      <w:rFonts w:hint="eastAsia" w:eastAsia="宋体"/>
                      <w:bCs/>
                      <w:color w:val="auto"/>
                      <w:kern w:val="2"/>
                      <w:sz w:val="21"/>
                      <w:szCs w:val="21"/>
                      <w:lang w:val="en-US" w:eastAsia="zh-CN" w:bidi="ar-SA"/>
                    </w:rPr>
                    <w:t>6.1</w:t>
                  </w:r>
                  <w:r>
                    <w:rPr>
                      <w:rFonts w:hint="eastAsia"/>
                      <w:bCs/>
                      <w:color w:val="auto"/>
                      <w:sz w:val="21"/>
                      <w:szCs w:val="21"/>
                      <w:lang w:val="en-US" w:eastAsia="zh-CN"/>
                    </w:rPr>
                    <w:t>m</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eastAsia" w:eastAsia="宋体"/>
                      <w:bCs/>
                      <w:color w:val="auto"/>
                      <w:kern w:val="2"/>
                      <w:sz w:val="21"/>
                      <w:szCs w:val="21"/>
                      <w:lang w:val="en-US" w:eastAsia="zh-CN" w:bidi="ar-SA"/>
                    </w:rPr>
                    <w:t>6.1</w:t>
                  </w:r>
                  <w:r>
                    <w:rPr>
                      <w:rFonts w:hint="eastAsia"/>
                      <w:bCs/>
                      <w:color w:val="auto"/>
                      <w:sz w:val="21"/>
                      <w:szCs w:val="21"/>
                      <w:lang w:val="en-US" w:eastAsia="zh-CN"/>
                    </w:rPr>
                    <w:t>m</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92" w:hRule="atLeast"/>
                <w:jc w:val="center"/>
              </w:trPr>
              <w:tc>
                <w:tcPr>
                  <w:tcW w:w="1921" w:type="dxa"/>
                  <w:gridSpan w:val="2"/>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辐射环境周边保护目标</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DSA</w:t>
                  </w:r>
                  <w:r>
                    <w:rPr>
                      <w:rFonts w:hint="default" w:ascii="Times New Roman" w:hAnsi="Times New Roman" w:eastAsia="宋体" w:cs="Times New Roman"/>
                      <w:color w:val="auto"/>
                      <w:sz w:val="21"/>
                      <w:szCs w:val="21"/>
                    </w:rPr>
                    <w:t>室（包括</w:t>
                  </w:r>
                  <w:r>
                    <w:rPr>
                      <w:rFonts w:hint="default" w:ascii="Times New Roman" w:hAnsi="Times New Roman" w:eastAsia="宋体" w:cs="Times New Roman"/>
                      <w:color w:val="auto"/>
                      <w:sz w:val="21"/>
                      <w:szCs w:val="21"/>
                      <w:lang w:eastAsia="zh-CN"/>
                    </w:rPr>
                    <w:t>操作室</w:t>
                  </w:r>
                  <w:r>
                    <w:rPr>
                      <w:rFonts w:hint="default" w:ascii="Times New Roman" w:hAnsi="Times New Roman" w:eastAsia="宋体" w:cs="Times New Roman"/>
                      <w:color w:val="auto"/>
                      <w:sz w:val="21"/>
                      <w:szCs w:val="21"/>
                    </w:rPr>
                    <w:t>和</w:t>
                  </w:r>
                  <w:r>
                    <w:rPr>
                      <w:rFonts w:hint="default" w:ascii="Times New Roman" w:hAnsi="Times New Roman" w:eastAsia="宋体" w:cs="Times New Roman"/>
                      <w:color w:val="auto"/>
                      <w:sz w:val="21"/>
                      <w:szCs w:val="21"/>
                      <w:lang w:eastAsia="zh-CN"/>
                    </w:rPr>
                    <w:t>机房</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综合楼影像中心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门诊部</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病理楼</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血透中心</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DSA</w:t>
                  </w:r>
                  <w:r>
                    <w:rPr>
                      <w:rFonts w:hint="default" w:ascii="Times New Roman" w:hAnsi="Times New Roman" w:eastAsia="宋体" w:cs="Times New Roman"/>
                      <w:color w:val="auto"/>
                      <w:sz w:val="21"/>
                      <w:szCs w:val="21"/>
                    </w:rPr>
                    <w:t>室（包括</w:t>
                  </w:r>
                  <w:r>
                    <w:rPr>
                      <w:rFonts w:hint="default" w:ascii="Times New Roman" w:hAnsi="Times New Roman" w:eastAsia="宋体" w:cs="Times New Roman"/>
                      <w:color w:val="auto"/>
                      <w:sz w:val="21"/>
                      <w:szCs w:val="21"/>
                      <w:lang w:eastAsia="zh-CN"/>
                    </w:rPr>
                    <w:t>操作室</w:t>
                  </w:r>
                  <w:r>
                    <w:rPr>
                      <w:rFonts w:hint="default" w:ascii="Times New Roman" w:hAnsi="Times New Roman" w:eastAsia="宋体" w:cs="Times New Roman"/>
                      <w:color w:val="auto"/>
                      <w:sz w:val="21"/>
                      <w:szCs w:val="21"/>
                    </w:rPr>
                    <w:t>和</w:t>
                  </w:r>
                  <w:r>
                    <w:rPr>
                      <w:rFonts w:hint="default" w:ascii="Times New Roman" w:hAnsi="Times New Roman" w:eastAsia="宋体" w:cs="Times New Roman"/>
                      <w:color w:val="auto"/>
                      <w:sz w:val="21"/>
                      <w:szCs w:val="21"/>
                      <w:lang w:eastAsia="zh-CN"/>
                    </w:rPr>
                    <w:t>机房</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综合楼影像中心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门诊部</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病理楼</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血透中心</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bCs/>
                      <w:color w:val="auto"/>
                      <w:sz w:val="21"/>
                      <w:szCs w:val="21"/>
                      <w:lang w:eastAsia="zh-CN"/>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1921" w:type="dxa"/>
                  <w:gridSpan w:val="2"/>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噪声</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kern w:val="2"/>
                      <w:sz w:val="21"/>
                      <w:szCs w:val="21"/>
                      <w:lang w:val="en-US" w:eastAsia="zh-CN" w:bidi="ar-SA"/>
                    </w:rPr>
                  </w:pPr>
                  <w:r>
                    <w:rPr>
                      <w:rFonts w:hint="eastAsia"/>
                      <w:bCs/>
                      <w:color w:val="auto"/>
                      <w:kern w:val="2"/>
                      <w:sz w:val="21"/>
                      <w:szCs w:val="21"/>
                      <w:lang w:val="en-US" w:eastAsia="zh-CN" w:bidi="ar-SA"/>
                    </w:rPr>
                    <w:t>基础减震</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kern w:val="2"/>
                      <w:sz w:val="21"/>
                      <w:szCs w:val="21"/>
                      <w:lang w:val="en-US" w:eastAsia="zh-CN" w:bidi="ar-SA"/>
                    </w:rPr>
                  </w:pPr>
                  <w:r>
                    <w:rPr>
                      <w:rFonts w:hint="eastAsia"/>
                      <w:bCs/>
                      <w:color w:val="auto"/>
                      <w:kern w:val="2"/>
                      <w:sz w:val="21"/>
                      <w:szCs w:val="21"/>
                      <w:lang w:val="en-US" w:eastAsia="zh-CN" w:bidi="ar-SA"/>
                    </w:rPr>
                    <w:t>基础减震</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eastAsia="宋体"/>
                      <w:bCs/>
                      <w:color w:val="auto"/>
                      <w:sz w:val="21"/>
                      <w:szCs w:val="21"/>
                      <w:lang w:eastAsia="zh-CN"/>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1921" w:type="dxa"/>
                  <w:gridSpan w:val="2"/>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废气</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自然通风，空调调节</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自然通风，空调调节</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bCs/>
                      <w:color w:val="auto"/>
                      <w:sz w:val="21"/>
                      <w:szCs w:val="21"/>
                      <w:lang w:eastAsia="zh-CN"/>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1921" w:type="dxa"/>
                  <w:gridSpan w:val="2"/>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废水</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依托医院污水处理站</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依托医院污水处理站</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bCs/>
                      <w:color w:val="auto"/>
                      <w:sz w:val="21"/>
                      <w:szCs w:val="21"/>
                      <w:lang w:eastAsia="zh-CN"/>
                    </w:rPr>
                  </w:pPr>
                  <w:r>
                    <w:rPr>
                      <w:rFonts w:hint="eastAsia"/>
                      <w:bCs/>
                      <w:color w:val="auto"/>
                      <w:sz w:val="21"/>
                      <w:szCs w:val="21"/>
                      <w:lang w:eastAsia="zh-CN"/>
                    </w:rPr>
                    <w:t>一致</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1921" w:type="dxa"/>
                  <w:gridSpan w:val="2"/>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固废</w:t>
                  </w:r>
                </w:p>
              </w:tc>
              <w:tc>
                <w:tcPr>
                  <w:tcW w:w="2958"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依托医院危废暂存间</w:t>
                  </w:r>
                </w:p>
              </w:tc>
              <w:tc>
                <w:tcPr>
                  <w:tcW w:w="2874"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依托医院危废暂存间</w:t>
                  </w:r>
                </w:p>
              </w:tc>
              <w:tc>
                <w:tcPr>
                  <w:tcW w:w="1365"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bCs/>
                      <w:color w:val="auto"/>
                      <w:sz w:val="21"/>
                      <w:szCs w:val="21"/>
                      <w:lang w:eastAsia="zh-CN"/>
                    </w:rPr>
                  </w:pPr>
                  <w:r>
                    <w:rPr>
                      <w:rFonts w:hint="eastAsia"/>
                      <w:bCs/>
                      <w:color w:val="auto"/>
                      <w:sz w:val="21"/>
                      <w:szCs w:val="21"/>
                      <w:lang w:eastAsia="zh-CN"/>
                    </w:rPr>
                    <w:t>一致</w:t>
                  </w:r>
                </w:p>
              </w:tc>
            </w:tr>
          </w:tbl>
          <w:p>
            <w:pPr>
              <w:pStyle w:val="2"/>
              <w:numPr>
                <w:ilvl w:val="0"/>
                <w:numId w:val="0"/>
              </w:numPr>
              <w:ind w:lef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环保投资一览表</w:t>
            </w:r>
          </w:p>
          <w:tbl>
            <w:tblPr>
              <w:tblStyle w:val="39"/>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636"/>
              <w:gridCol w:w="956"/>
              <w:gridCol w:w="3321"/>
              <w:gridCol w:w="1061"/>
              <w:gridCol w:w="1018"/>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序号</w:t>
                  </w:r>
                </w:p>
              </w:tc>
              <w:tc>
                <w:tcPr>
                  <w:tcW w:w="63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类别</w:t>
                  </w: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环保及安全管理措施</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内容</w:t>
                  </w:r>
                </w:p>
              </w:tc>
              <w:tc>
                <w:tcPr>
                  <w:tcW w:w="1061"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环保投资概算（万元）</w:t>
                  </w:r>
                </w:p>
              </w:tc>
              <w:tc>
                <w:tcPr>
                  <w:tcW w:w="101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环保实际投资（万元）</w:t>
                  </w:r>
                </w:p>
              </w:tc>
              <w:tc>
                <w:tcPr>
                  <w:tcW w:w="1707"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与环评是否一致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w:t>
                  </w:r>
                </w:p>
              </w:tc>
              <w:tc>
                <w:tcPr>
                  <w:tcW w:w="636" w:type="dxa"/>
                  <w:vMerge w:val="restart"/>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防护工程</w:t>
                  </w: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墙体屏蔽</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四面墙体为240</w:t>
                  </w:r>
                  <w:r>
                    <w:rPr>
                      <w:rFonts w:hint="eastAsia" w:ascii="宋体" w:hAnsi="宋体" w:eastAsia="宋体" w:cs="宋体"/>
                      <w:bCs/>
                      <w:color w:val="auto"/>
                      <w:sz w:val="21"/>
                      <w:szCs w:val="21"/>
                    </w:rPr>
                    <w:t>mm</w:t>
                  </w:r>
                  <w:r>
                    <w:rPr>
                      <w:rFonts w:hint="eastAsia" w:ascii="宋体" w:hAnsi="宋体" w:eastAsia="宋体" w:cs="宋体"/>
                      <w:bCs/>
                      <w:color w:val="auto"/>
                      <w:sz w:val="21"/>
                      <w:szCs w:val="21"/>
                      <w:lang w:val="en-US" w:eastAsia="zh-CN"/>
                    </w:rPr>
                    <w:t>厚实心红砖墙+2</w:t>
                  </w:r>
                  <w:r>
                    <w:rPr>
                      <w:rFonts w:hint="eastAsia" w:ascii="宋体" w:hAnsi="宋体" w:eastAsia="宋体" w:cs="宋体"/>
                      <w:bCs/>
                      <w:color w:val="auto"/>
                      <w:sz w:val="21"/>
                      <w:szCs w:val="21"/>
                    </w:rPr>
                    <w:t>mm</w:t>
                  </w:r>
                  <w:r>
                    <w:rPr>
                      <w:rFonts w:hint="eastAsia" w:ascii="宋体" w:hAnsi="宋体" w:eastAsia="宋体" w:cs="宋体"/>
                      <w:bCs/>
                      <w:color w:val="auto"/>
                      <w:sz w:val="21"/>
                      <w:szCs w:val="21"/>
                      <w:lang w:val="en-US" w:eastAsia="zh-CN"/>
                    </w:rPr>
                    <w:t>Pb</w:t>
                  </w:r>
                  <w:r>
                    <w:rPr>
                      <w:rFonts w:hint="eastAsia" w:ascii="宋体" w:hAnsi="宋体" w:eastAsia="宋体" w:cs="宋体"/>
                      <w:color w:val="auto"/>
                      <w:sz w:val="21"/>
                      <w:szCs w:val="21"/>
                      <w:lang w:eastAsia="zh-CN"/>
                    </w:rPr>
                    <w:t>硫酸钡水泥</w:t>
                  </w:r>
                  <w:r>
                    <w:rPr>
                      <w:rFonts w:hint="eastAsia" w:ascii="宋体" w:hAnsi="宋体" w:eastAsia="宋体" w:cs="宋体"/>
                      <w:snapToGrid w:val="0"/>
                      <w:color w:val="auto"/>
                      <w:sz w:val="21"/>
                      <w:szCs w:val="21"/>
                      <w:lang w:eastAsia="zh-CN"/>
                    </w:rPr>
                    <w:t>；</w:t>
                  </w:r>
                  <w:r>
                    <w:rPr>
                      <w:rFonts w:hint="eastAsia" w:ascii="宋体" w:hAnsi="宋体" w:eastAsia="宋体" w:cs="宋体"/>
                      <w:b w:val="0"/>
                      <w:bCs w:val="0"/>
                      <w:color w:val="auto"/>
                      <w:sz w:val="21"/>
                      <w:szCs w:val="21"/>
                      <w:lang w:eastAsia="zh-CN"/>
                    </w:rPr>
                    <w:t>顶板</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0</w:t>
                  </w:r>
                  <w:r>
                    <w:rPr>
                      <w:rFonts w:hint="eastAsia" w:ascii="宋体" w:hAnsi="宋体" w:eastAsia="宋体" w:cs="宋体"/>
                      <w:bCs/>
                      <w:color w:val="auto"/>
                      <w:sz w:val="21"/>
                      <w:szCs w:val="21"/>
                      <w:lang w:val="en-US" w:eastAsia="zh-CN"/>
                    </w:rPr>
                    <w:t>0</w:t>
                  </w:r>
                  <w:r>
                    <w:rPr>
                      <w:rFonts w:hint="eastAsia" w:ascii="宋体" w:hAnsi="宋体" w:eastAsia="宋体" w:cs="宋体"/>
                      <w:bCs/>
                      <w:color w:val="auto"/>
                      <w:sz w:val="21"/>
                      <w:szCs w:val="21"/>
                    </w:rPr>
                    <w:t>mm厚混凝土+</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mm</w:t>
                  </w:r>
                  <w:r>
                    <w:rPr>
                      <w:rFonts w:hint="eastAsia" w:ascii="宋体" w:hAnsi="宋体" w:eastAsia="宋体" w:cs="宋体"/>
                      <w:bCs/>
                      <w:color w:val="auto"/>
                      <w:sz w:val="21"/>
                      <w:szCs w:val="21"/>
                      <w:lang w:val="en-US" w:eastAsia="zh-CN"/>
                    </w:rPr>
                    <w:t>Pb</w:t>
                  </w:r>
                  <w:r>
                    <w:rPr>
                      <w:rFonts w:hint="eastAsia" w:ascii="宋体" w:hAnsi="宋体" w:eastAsia="宋体" w:cs="宋体"/>
                      <w:color w:val="auto"/>
                      <w:sz w:val="21"/>
                      <w:szCs w:val="21"/>
                      <w:lang w:eastAsia="zh-CN"/>
                    </w:rPr>
                    <w:t>硫酸钡水泥</w:t>
                  </w:r>
                  <w:r>
                    <w:rPr>
                      <w:rFonts w:hint="eastAsia" w:ascii="宋体" w:hAnsi="宋体" w:eastAsia="宋体" w:cs="宋体"/>
                      <w:snapToGrid w:val="0"/>
                      <w:color w:val="auto"/>
                      <w:sz w:val="21"/>
                      <w:szCs w:val="21"/>
                      <w:lang w:eastAsia="zh-CN"/>
                    </w:rPr>
                    <w:t>；地板</w:t>
                  </w:r>
                  <w:r>
                    <w:rPr>
                      <w:rFonts w:hint="eastAsia" w:ascii="宋体" w:hAnsi="宋体" w:eastAsia="宋体" w:cs="宋体"/>
                      <w:snapToGrid w:val="0"/>
                      <w:color w:val="auto"/>
                      <w:sz w:val="21"/>
                      <w:szCs w:val="21"/>
                      <w:lang w:val="en-US" w:eastAsia="zh-CN"/>
                    </w:rPr>
                    <w:t>面贴有</w:t>
                  </w:r>
                  <w:r>
                    <w:rPr>
                      <w:rFonts w:hint="eastAsia" w:ascii="宋体" w:hAnsi="宋体" w:eastAsia="宋体" w:cs="宋体"/>
                      <w:bCs/>
                      <w:color w:val="auto"/>
                      <w:sz w:val="21"/>
                      <w:szCs w:val="21"/>
                      <w:lang w:val="en-US" w:eastAsia="zh-CN"/>
                    </w:rPr>
                    <w:t>瓷砖</w:t>
                  </w:r>
                </w:p>
              </w:tc>
              <w:tc>
                <w:tcPr>
                  <w:tcW w:w="106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p>
              </w:tc>
              <w:tc>
                <w:tcPr>
                  <w:tcW w:w="1018"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10.15</w:t>
                  </w:r>
                </w:p>
              </w:tc>
              <w:tc>
                <w:tcPr>
                  <w:tcW w:w="1707"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费用实际投资比投资概算高了</w:t>
                  </w:r>
                  <w:r>
                    <w:rPr>
                      <w:rFonts w:hint="eastAsia" w:ascii="宋体" w:hAnsi="宋体" w:eastAsia="宋体" w:cs="宋体"/>
                      <w:color w:val="auto"/>
                      <w:sz w:val="21"/>
                      <w:szCs w:val="21"/>
                      <w:lang w:val="en-US" w:eastAsia="zh-CN"/>
                    </w:rPr>
                    <w:t>0.15万元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2</w:t>
                  </w:r>
                </w:p>
              </w:tc>
              <w:tc>
                <w:tcPr>
                  <w:tcW w:w="636"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铅防护门</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共3扇，4</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0</w:t>
                  </w:r>
                  <w:r>
                    <w:rPr>
                      <w:rFonts w:hint="eastAsia" w:ascii="宋体" w:hAnsi="宋体" w:eastAsia="宋体" w:cs="宋体"/>
                      <w:bCs/>
                      <w:color w:val="auto"/>
                      <w:sz w:val="21"/>
                      <w:szCs w:val="21"/>
                    </w:rPr>
                    <w:t>mm铅板</w:t>
                  </w:r>
                  <w:r>
                    <w:rPr>
                      <w:rFonts w:hint="eastAsia" w:ascii="宋体" w:hAnsi="宋体" w:eastAsia="宋体" w:cs="宋体"/>
                      <w:bCs/>
                      <w:color w:val="auto"/>
                      <w:sz w:val="21"/>
                      <w:szCs w:val="21"/>
                      <w:lang w:val="en-US" w:eastAsia="zh-CN"/>
                    </w:rPr>
                    <w:t>+锈钢</w:t>
                  </w:r>
                  <w:r>
                    <w:rPr>
                      <w:rFonts w:hint="eastAsia" w:ascii="宋体" w:hAnsi="宋体" w:eastAsia="宋体" w:cs="宋体"/>
                      <w:bCs/>
                      <w:color w:val="auto"/>
                      <w:sz w:val="21"/>
                      <w:szCs w:val="21"/>
                      <w:lang w:eastAsia="zh-CN"/>
                    </w:rPr>
                    <w:t>板覆面（不</w:t>
                  </w:r>
                  <w:r>
                    <w:rPr>
                      <w:rFonts w:hint="eastAsia" w:ascii="宋体" w:hAnsi="宋体" w:eastAsia="宋体" w:cs="宋体"/>
                      <w:bCs/>
                      <w:color w:val="auto"/>
                      <w:sz w:val="21"/>
                      <w:szCs w:val="21"/>
                      <w:lang w:val="en-US" w:eastAsia="zh-CN"/>
                    </w:rPr>
                    <w:t>锈钢</w:t>
                  </w:r>
                  <w:r>
                    <w:rPr>
                      <w:rFonts w:hint="eastAsia" w:ascii="宋体" w:hAnsi="宋体" w:eastAsia="宋体" w:cs="宋体"/>
                      <w:bCs/>
                      <w:color w:val="auto"/>
                      <w:sz w:val="21"/>
                      <w:szCs w:val="21"/>
                      <w:lang w:eastAsia="zh-CN"/>
                    </w:rPr>
                    <w:t>板</w:t>
                  </w:r>
                  <w:r>
                    <w:rPr>
                      <w:rFonts w:hint="eastAsia" w:ascii="宋体" w:hAnsi="宋体" w:eastAsia="宋体" w:cs="宋体"/>
                      <w:bCs/>
                      <w:color w:val="auto"/>
                      <w:sz w:val="21"/>
                      <w:szCs w:val="21"/>
                      <w:lang w:val="en-US" w:eastAsia="zh-CN"/>
                    </w:rPr>
                    <w:t>2.5</w:t>
                  </w:r>
                  <w:r>
                    <w:rPr>
                      <w:rFonts w:hint="eastAsia" w:ascii="宋体" w:hAnsi="宋体" w:eastAsia="宋体" w:cs="宋体"/>
                      <w:bCs/>
                      <w:color w:val="auto"/>
                      <w:sz w:val="21"/>
                      <w:szCs w:val="21"/>
                    </w:rPr>
                    <w:t>mm</w:t>
                  </w:r>
                  <w:r>
                    <w:rPr>
                      <w:rFonts w:hint="eastAsia" w:ascii="宋体" w:hAnsi="宋体" w:eastAsia="宋体" w:cs="宋体"/>
                      <w:bCs/>
                      <w:color w:val="auto"/>
                      <w:sz w:val="21"/>
                      <w:szCs w:val="21"/>
                      <w:lang w:val="en-US" w:eastAsia="zh-CN"/>
                    </w:rPr>
                    <w:t>)</w:t>
                  </w:r>
                </w:p>
              </w:tc>
              <w:tc>
                <w:tcPr>
                  <w:tcW w:w="106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3.5</w:t>
                  </w:r>
                </w:p>
              </w:tc>
              <w:tc>
                <w:tcPr>
                  <w:tcW w:w="1018"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3.6</w:t>
                  </w:r>
                </w:p>
              </w:tc>
              <w:tc>
                <w:tcPr>
                  <w:tcW w:w="1707"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费用实际投资比投资概算高了</w:t>
                  </w:r>
                  <w:r>
                    <w:rPr>
                      <w:rFonts w:hint="eastAsia" w:ascii="宋体" w:hAnsi="宋体" w:eastAsia="宋体" w:cs="宋体"/>
                      <w:color w:val="auto"/>
                      <w:sz w:val="21"/>
                      <w:szCs w:val="21"/>
                      <w:lang w:val="en-US" w:eastAsia="zh-CN"/>
                    </w:rPr>
                    <w:t>0.1万元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3</w:t>
                  </w:r>
                </w:p>
              </w:tc>
              <w:tc>
                <w:tcPr>
                  <w:tcW w:w="636"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铅窗</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4</w:t>
                  </w:r>
                  <w:r>
                    <w:rPr>
                      <w:rFonts w:hint="eastAsia" w:ascii="宋体" w:hAnsi="宋体" w:eastAsia="宋体" w:cs="宋体"/>
                      <w:bCs/>
                      <w:color w:val="auto"/>
                      <w:sz w:val="21"/>
                      <w:szCs w:val="21"/>
                    </w:rPr>
                    <w:t>mm</w:t>
                  </w:r>
                  <w:r>
                    <w:rPr>
                      <w:rFonts w:hint="eastAsia" w:ascii="宋体" w:hAnsi="宋体" w:eastAsia="宋体" w:cs="宋体"/>
                      <w:bCs/>
                      <w:color w:val="auto"/>
                      <w:sz w:val="21"/>
                      <w:szCs w:val="21"/>
                      <w:lang w:val="en-US" w:eastAsia="zh-CN"/>
                    </w:rPr>
                    <w:t>Pb</w:t>
                  </w:r>
                  <w:r>
                    <w:rPr>
                      <w:rFonts w:hint="eastAsia" w:ascii="宋体" w:hAnsi="宋体" w:eastAsia="宋体" w:cs="宋体"/>
                      <w:color w:val="auto"/>
                      <w:sz w:val="21"/>
                      <w:szCs w:val="21"/>
                    </w:rPr>
                    <w:t>铅玻璃窗</w:t>
                  </w:r>
                </w:p>
              </w:tc>
              <w:tc>
                <w:tcPr>
                  <w:tcW w:w="106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p>
              </w:tc>
              <w:tc>
                <w:tcPr>
                  <w:tcW w:w="1018"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1.25</w:t>
                  </w:r>
                </w:p>
              </w:tc>
              <w:tc>
                <w:tcPr>
                  <w:tcW w:w="1707"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费用实际投资比投资概算高了</w:t>
                  </w:r>
                  <w:r>
                    <w:rPr>
                      <w:rFonts w:hint="eastAsia" w:ascii="宋体" w:hAnsi="宋体" w:eastAsia="宋体" w:cs="宋体"/>
                      <w:color w:val="auto"/>
                      <w:sz w:val="21"/>
                      <w:szCs w:val="21"/>
                      <w:lang w:val="en-US" w:eastAsia="zh-CN"/>
                    </w:rPr>
                    <w:t>0.05万元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4</w:t>
                  </w:r>
                </w:p>
              </w:tc>
              <w:tc>
                <w:tcPr>
                  <w:tcW w:w="636"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警示灯</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在机房门口设置</w:t>
                  </w:r>
                  <w:r>
                    <w:rPr>
                      <w:rFonts w:hint="eastAsia" w:ascii="宋体" w:hAnsi="宋体" w:eastAsia="宋体" w:cs="宋体"/>
                      <w:color w:val="auto"/>
                      <w:sz w:val="21"/>
                      <w:szCs w:val="21"/>
                      <w:lang w:eastAsia="zh-CN"/>
                    </w:rPr>
                    <w:t>了</w:t>
                  </w:r>
                  <w:r>
                    <w:rPr>
                      <w:rFonts w:hint="eastAsia" w:ascii="宋体" w:hAnsi="宋体" w:eastAsia="宋体" w:cs="宋体"/>
                      <w:color w:val="auto"/>
                      <w:sz w:val="21"/>
                      <w:szCs w:val="21"/>
                    </w:rPr>
                    <w:t>警示灯</w:t>
                  </w:r>
                </w:p>
              </w:tc>
              <w:tc>
                <w:tcPr>
                  <w:tcW w:w="1061" w:type="dxa"/>
                  <w:vMerge w:val="restart"/>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1</w:t>
                  </w:r>
                </w:p>
              </w:tc>
              <w:tc>
                <w:tcPr>
                  <w:tcW w:w="1018" w:type="dxa"/>
                  <w:vMerge w:val="restart"/>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1.2</w:t>
                  </w:r>
                </w:p>
              </w:tc>
              <w:tc>
                <w:tcPr>
                  <w:tcW w:w="1707" w:type="dxa"/>
                  <w:vMerge w:val="restart"/>
                  <w:vAlign w:val="center"/>
                </w:tcPr>
                <w:p>
                  <w:pPr>
                    <w:widowControl w:val="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费用实际投资比投资概算高了</w:t>
                  </w:r>
                  <w:r>
                    <w:rPr>
                      <w:rFonts w:hint="eastAsia" w:ascii="宋体" w:hAnsi="宋体" w:eastAsia="宋体" w:cs="宋体"/>
                      <w:color w:val="auto"/>
                      <w:sz w:val="21"/>
                      <w:szCs w:val="21"/>
                      <w:lang w:val="en-US" w:eastAsia="zh-CN"/>
                    </w:rPr>
                    <w:t>0.2万元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5</w:t>
                  </w:r>
                </w:p>
              </w:tc>
              <w:tc>
                <w:tcPr>
                  <w:tcW w:w="636"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门灯联</w:t>
                  </w:r>
                  <w:r>
                    <w:rPr>
                      <w:rFonts w:hint="eastAsia" w:ascii="宋体" w:hAnsi="宋体" w:eastAsia="宋体" w:cs="宋体"/>
                      <w:color w:val="auto"/>
                      <w:sz w:val="21"/>
                      <w:szCs w:val="21"/>
                      <w:lang w:eastAsia="zh-CN"/>
                    </w:rPr>
                    <w:t>动</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在防护门处安装</w:t>
                  </w:r>
                  <w:r>
                    <w:rPr>
                      <w:rFonts w:hint="eastAsia" w:ascii="宋体" w:hAnsi="宋体" w:eastAsia="宋体" w:cs="宋体"/>
                      <w:color w:val="auto"/>
                      <w:sz w:val="21"/>
                      <w:szCs w:val="21"/>
                      <w:lang w:eastAsia="zh-CN"/>
                    </w:rPr>
                    <w:t>了</w:t>
                  </w:r>
                  <w:r>
                    <w:rPr>
                      <w:rFonts w:hint="eastAsia" w:ascii="宋体" w:hAnsi="宋体" w:eastAsia="宋体" w:cs="宋体"/>
                      <w:color w:val="auto"/>
                      <w:sz w:val="21"/>
                      <w:szCs w:val="21"/>
                    </w:rPr>
                    <w:t>门灯联</w:t>
                  </w:r>
                  <w:r>
                    <w:rPr>
                      <w:rFonts w:hint="eastAsia" w:ascii="宋体" w:hAnsi="宋体" w:eastAsia="宋体" w:cs="宋体"/>
                      <w:color w:val="auto"/>
                      <w:sz w:val="21"/>
                      <w:szCs w:val="21"/>
                      <w:lang w:eastAsia="zh-CN"/>
                    </w:rPr>
                    <w:t>动</w:t>
                  </w:r>
                </w:p>
              </w:tc>
              <w:tc>
                <w:tcPr>
                  <w:tcW w:w="1061"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018"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707" w:type="dxa"/>
                  <w:vMerge w:val="continue"/>
                  <w:vAlign w:val="center"/>
                </w:tcPr>
                <w:p>
                  <w:pPr>
                    <w:widowControl w:val="0"/>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6</w:t>
                  </w:r>
                </w:p>
              </w:tc>
              <w:tc>
                <w:tcPr>
                  <w:tcW w:w="636"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电离辐射警告标志</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在防护门上设置</w:t>
                  </w:r>
                  <w:r>
                    <w:rPr>
                      <w:rFonts w:hint="eastAsia" w:ascii="宋体" w:hAnsi="宋体" w:eastAsia="宋体" w:cs="宋体"/>
                      <w:color w:val="auto"/>
                      <w:sz w:val="21"/>
                      <w:szCs w:val="21"/>
                      <w:lang w:eastAsia="zh-CN"/>
                    </w:rPr>
                    <w:t>了</w:t>
                  </w:r>
                  <w:r>
                    <w:rPr>
                      <w:rFonts w:hint="eastAsia" w:ascii="宋体" w:hAnsi="宋体" w:eastAsia="宋体" w:cs="宋体"/>
                      <w:color w:val="auto"/>
                      <w:sz w:val="21"/>
                      <w:szCs w:val="21"/>
                    </w:rPr>
                    <w:t>规范的电离辐射警告标志</w:t>
                  </w:r>
                </w:p>
              </w:tc>
              <w:tc>
                <w:tcPr>
                  <w:tcW w:w="1061"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018"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707" w:type="dxa"/>
                  <w:vMerge w:val="continue"/>
                  <w:vAlign w:val="center"/>
                </w:tcPr>
                <w:p>
                  <w:pPr>
                    <w:widowControl w:val="0"/>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7</w:t>
                  </w:r>
                </w:p>
              </w:tc>
              <w:tc>
                <w:tcPr>
                  <w:tcW w:w="636" w:type="dxa"/>
                  <w:vMerge w:val="restart"/>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环境管理</w:t>
                  </w: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辐射安全管理机构</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医院已成立辐射防护工作领导小组</w:t>
                  </w:r>
                </w:p>
              </w:tc>
              <w:tc>
                <w:tcPr>
                  <w:tcW w:w="1061" w:type="dxa"/>
                  <w:vMerge w:val="restart"/>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4</w:t>
                  </w:r>
                </w:p>
              </w:tc>
              <w:tc>
                <w:tcPr>
                  <w:tcW w:w="1018" w:type="dxa"/>
                  <w:vMerge w:val="restart"/>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4.1</w:t>
                  </w:r>
                </w:p>
              </w:tc>
              <w:tc>
                <w:tcPr>
                  <w:tcW w:w="1707" w:type="dxa"/>
                  <w:vMerge w:val="restart"/>
                  <w:vAlign w:val="center"/>
                </w:tcPr>
                <w:p>
                  <w:pPr>
                    <w:widowControl w:val="0"/>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eastAsia="zh-CN"/>
                    </w:rPr>
                    <w:t>费用实际投资比投资概算高了</w:t>
                  </w:r>
                  <w:r>
                    <w:rPr>
                      <w:rFonts w:hint="eastAsia" w:ascii="宋体" w:hAnsi="宋体" w:eastAsia="宋体" w:cs="宋体"/>
                      <w:color w:val="auto"/>
                      <w:sz w:val="21"/>
                      <w:szCs w:val="21"/>
                      <w:lang w:val="en-US" w:eastAsia="zh-CN"/>
                    </w:rPr>
                    <w:t>0.1万元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8</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辐射事故应急预案</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制定了辐射事件应急处理预案</w:t>
                  </w:r>
                </w:p>
              </w:tc>
              <w:tc>
                <w:tcPr>
                  <w:tcW w:w="1061"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018"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707" w:type="dxa"/>
                  <w:vMerge w:val="continue"/>
                  <w:vAlign w:val="center"/>
                </w:tcPr>
                <w:p>
                  <w:pPr>
                    <w:widowControl w:val="0"/>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9</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辐射安全与防护培训</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辐射工作人员上岗前必须参加</w:t>
                  </w:r>
                  <w:r>
                    <w:rPr>
                      <w:rFonts w:hint="eastAsia" w:ascii="宋体" w:hAnsi="宋体" w:eastAsia="宋体" w:cs="宋体"/>
                      <w:color w:val="auto"/>
                      <w:sz w:val="21"/>
                      <w:szCs w:val="21"/>
                      <w:lang w:eastAsia="zh-CN"/>
                    </w:rPr>
                    <w:t>生态环境部培训平台上的</w:t>
                  </w:r>
                  <w:r>
                    <w:rPr>
                      <w:rFonts w:hint="eastAsia" w:ascii="宋体" w:hAnsi="宋体" w:eastAsia="宋体" w:cs="宋体"/>
                      <w:color w:val="auto"/>
                      <w:sz w:val="21"/>
                      <w:szCs w:val="21"/>
                    </w:rPr>
                    <w:t>辐射安全与防护专业知识培训，并取得合格证书，做到持证上岗；已培训辐射工作人员</w:t>
                  </w:r>
                  <w:r>
                    <w:rPr>
                      <w:rFonts w:hint="eastAsia" w:ascii="宋体" w:hAnsi="宋体" w:eastAsia="宋体" w:cs="宋体"/>
                      <w:color w:val="auto"/>
                      <w:sz w:val="21"/>
                      <w:szCs w:val="21"/>
                      <w:lang w:eastAsia="zh-CN"/>
                    </w:rPr>
                    <w:t>有效期满应进行</w:t>
                  </w:r>
                  <w:r>
                    <w:rPr>
                      <w:rFonts w:hint="eastAsia" w:ascii="宋体" w:hAnsi="宋体" w:eastAsia="宋体" w:cs="宋体"/>
                      <w:color w:val="auto"/>
                      <w:sz w:val="21"/>
                      <w:szCs w:val="21"/>
                    </w:rPr>
                    <w:t>复训</w:t>
                  </w:r>
                </w:p>
              </w:tc>
              <w:tc>
                <w:tcPr>
                  <w:tcW w:w="1061"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018"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707" w:type="dxa"/>
                  <w:vMerge w:val="continue"/>
                  <w:vAlign w:val="center"/>
                </w:tcPr>
                <w:p>
                  <w:pPr>
                    <w:widowControl w:val="0"/>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10</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职业健康体检管理</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医院已委</w:t>
                  </w:r>
                  <w:r>
                    <w:rPr>
                      <w:rFonts w:hint="eastAsia" w:ascii="宋体" w:hAnsi="宋体" w:eastAsia="宋体" w:cs="宋体"/>
                      <w:color w:val="auto"/>
                      <w:sz w:val="21"/>
                      <w:szCs w:val="21"/>
                      <w:lang w:eastAsia="zh-CN"/>
                    </w:rPr>
                    <w:t>托安徽达申卫生检测技术有限公司每个季度对辐射工作人员佩戴的个人剂量计进行检测；医院每两年由有资质单位</w:t>
                  </w:r>
                  <w:r>
                    <w:rPr>
                      <w:rFonts w:hint="eastAsia" w:ascii="宋体" w:hAnsi="宋体" w:eastAsia="宋体" w:cs="宋体"/>
                      <w:color w:val="auto"/>
                      <w:sz w:val="21"/>
                      <w:szCs w:val="21"/>
                    </w:rPr>
                    <w:t>对辐射工作人员进行一次职业健康体检</w:t>
                  </w:r>
                </w:p>
              </w:tc>
              <w:tc>
                <w:tcPr>
                  <w:tcW w:w="1061"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018" w:type="dxa"/>
                  <w:vMerge w:val="continue"/>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c>
                <w:tcPr>
                  <w:tcW w:w="1707" w:type="dxa"/>
                  <w:vMerge w:val="continue"/>
                  <w:vAlign w:val="center"/>
                </w:tcPr>
                <w:p>
                  <w:pPr>
                    <w:widowControl w:val="0"/>
                    <w:numPr>
                      <w:ilvl w:val="0"/>
                      <w:numId w:val="0"/>
                    </w:numPr>
                    <w:spacing w:line="240" w:lineRule="auto"/>
                    <w:jc w:val="center"/>
                    <w:rPr>
                      <w:rFonts w:hint="eastAsia" w:ascii="宋体" w:hAnsi="宋体" w:eastAsia="宋体" w:cs="宋体"/>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11</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防护用品</w:t>
                  </w:r>
                </w:p>
              </w:tc>
              <w:tc>
                <w:tcPr>
                  <w:tcW w:w="3321" w:type="dxa"/>
                  <w:vAlign w:val="center"/>
                </w:tcPr>
                <w:p>
                  <w:pPr>
                    <w:widowControl w:val="0"/>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已配备</w:t>
                  </w:r>
                  <w:r>
                    <w:rPr>
                      <w:rFonts w:hint="eastAsia" w:ascii="宋体" w:hAnsi="宋体" w:eastAsia="宋体" w:cs="宋体"/>
                      <w:bCs/>
                      <w:color w:val="auto"/>
                      <w:kern w:val="2"/>
                      <w:sz w:val="21"/>
                      <w:szCs w:val="21"/>
                      <w:lang w:val="en-US" w:eastAsia="zh-CN" w:bidi="ar-SA"/>
                    </w:rPr>
                    <w:t>4件铅方巾、4顶铅橡胶帽、6件铅橡胶围脖、6副铅防护眼镜、5副铅手套、6件铅衣</w:t>
                  </w:r>
                </w:p>
              </w:tc>
              <w:tc>
                <w:tcPr>
                  <w:tcW w:w="106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1</w:t>
                  </w:r>
                </w:p>
              </w:tc>
              <w:tc>
                <w:tcPr>
                  <w:tcW w:w="1018"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0.9</w:t>
                  </w:r>
                </w:p>
              </w:tc>
              <w:tc>
                <w:tcPr>
                  <w:tcW w:w="1707"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费用实际投资比投资概算降低了</w:t>
                  </w:r>
                  <w:r>
                    <w:rPr>
                      <w:rFonts w:hint="eastAsia" w:ascii="宋体" w:hAnsi="宋体" w:eastAsia="宋体" w:cs="宋体"/>
                      <w:color w:val="auto"/>
                      <w:sz w:val="21"/>
                      <w:szCs w:val="21"/>
                      <w:lang w:val="en-US" w:eastAsia="zh-CN"/>
                    </w:rPr>
                    <w:t>0.1万元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8"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bCs/>
                      <w:color w:val="auto"/>
                      <w:kern w:val="2"/>
                      <w:sz w:val="21"/>
                      <w:szCs w:val="21"/>
                      <w:lang w:val="en-US" w:eastAsia="zh-CN" w:bidi="ar-SA"/>
                    </w:rPr>
                    <w:t>12</w:t>
                  </w:r>
                </w:p>
              </w:tc>
              <w:tc>
                <w:tcPr>
                  <w:tcW w:w="636" w:type="dxa"/>
                  <w:vMerge w:val="continue"/>
                  <w:vAlign w:val="center"/>
                </w:tcPr>
                <w:p>
                  <w:pPr>
                    <w:widowControl w:val="0"/>
                    <w:jc w:val="center"/>
                    <w:rPr>
                      <w:rFonts w:hint="eastAsia" w:ascii="宋体" w:hAnsi="宋体" w:eastAsia="宋体" w:cs="宋体"/>
                      <w:color w:val="auto"/>
                      <w:sz w:val="21"/>
                      <w:szCs w:val="21"/>
                    </w:rPr>
                  </w:pPr>
                </w:p>
              </w:tc>
              <w:tc>
                <w:tcPr>
                  <w:tcW w:w="956"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辐射检测设备</w:t>
                  </w:r>
                </w:p>
              </w:tc>
              <w:tc>
                <w:tcPr>
                  <w:tcW w:w="332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辐射巡检仪1台</w:t>
                  </w:r>
                </w:p>
              </w:tc>
              <w:tc>
                <w:tcPr>
                  <w:tcW w:w="106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w:t>
                  </w:r>
                </w:p>
              </w:tc>
              <w:tc>
                <w:tcPr>
                  <w:tcW w:w="1018"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w:t>
                  </w:r>
                </w:p>
              </w:tc>
              <w:tc>
                <w:tcPr>
                  <w:tcW w:w="1707"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13</w:t>
                  </w:r>
                </w:p>
              </w:tc>
              <w:tc>
                <w:tcPr>
                  <w:tcW w:w="636" w:type="dxa"/>
                  <w:vMerge w:val="restart"/>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环境监控</w:t>
                  </w:r>
                </w:p>
              </w:tc>
              <w:tc>
                <w:tcPr>
                  <w:tcW w:w="956" w:type="dxa"/>
                  <w:vAlign w:val="center"/>
                </w:tcPr>
                <w:p>
                  <w:pPr>
                    <w:pStyle w:val="81"/>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 w:val="0"/>
                      <w:color w:val="auto"/>
                      <w:spacing w:val="0"/>
                      <w:kern w:val="2"/>
                      <w:sz w:val="21"/>
                      <w:szCs w:val="21"/>
                    </w:rPr>
                    <w:t>环境监测</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医院</w:t>
                  </w:r>
                  <w:r>
                    <w:rPr>
                      <w:rFonts w:hint="eastAsia" w:ascii="宋体" w:hAnsi="宋体" w:eastAsia="宋体" w:cs="宋体"/>
                      <w:color w:val="auto"/>
                      <w:sz w:val="21"/>
                      <w:szCs w:val="21"/>
                      <w:lang w:eastAsia="zh-CN"/>
                    </w:rPr>
                    <w:t>每年</w:t>
                  </w:r>
                  <w:r>
                    <w:rPr>
                      <w:rFonts w:hint="eastAsia" w:ascii="宋体" w:hAnsi="宋体" w:eastAsia="宋体" w:cs="宋体"/>
                      <w:color w:val="auto"/>
                      <w:sz w:val="21"/>
                      <w:szCs w:val="21"/>
                    </w:rPr>
                    <w:t>委托</w:t>
                  </w:r>
                  <w:r>
                    <w:rPr>
                      <w:rFonts w:hint="eastAsia" w:ascii="宋体" w:hAnsi="宋体" w:eastAsia="宋体" w:cs="宋体"/>
                      <w:color w:val="auto"/>
                      <w:sz w:val="21"/>
                      <w:szCs w:val="21"/>
                      <w:lang w:eastAsia="zh-CN"/>
                    </w:rPr>
                    <w:t>安徽金浩峰检测研究院有限公司</w:t>
                  </w:r>
                  <w:r>
                    <w:rPr>
                      <w:rFonts w:hint="eastAsia" w:ascii="宋体" w:hAnsi="宋体" w:eastAsia="宋体" w:cs="宋体"/>
                      <w:color w:val="auto"/>
                      <w:sz w:val="21"/>
                      <w:szCs w:val="21"/>
                    </w:rPr>
                    <w:t>对辐射工作场所进行检测</w:t>
                  </w:r>
                </w:p>
              </w:tc>
              <w:tc>
                <w:tcPr>
                  <w:tcW w:w="106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2</w:t>
                  </w:r>
                </w:p>
              </w:tc>
              <w:tc>
                <w:tcPr>
                  <w:tcW w:w="1018"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2</w:t>
                  </w:r>
                </w:p>
              </w:tc>
              <w:tc>
                <w:tcPr>
                  <w:tcW w:w="1707"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14</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环境保护管理和监</w:t>
                  </w:r>
                  <w:r>
                    <w:rPr>
                      <w:rFonts w:hint="eastAsia" w:ascii="宋体" w:hAnsi="宋体" w:eastAsia="宋体" w:cs="宋体"/>
                      <w:color w:val="auto"/>
                      <w:sz w:val="21"/>
                      <w:szCs w:val="21"/>
                      <w:lang w:val="en-US" w:eastAsia="zh-CN"/>
                    </w:rPr>
                    <w:t>测</w:t>
                  </w:r>
                  <w:r>
                    <w:rPr>
                      <w:rFonts w:hint="eastAsia" w:ascii="宋体" w:hAnsi="宋体" w:eastAsia="宋体" w:cs="宋体"/>
                      <w:color w:val="auto"/>
                      <w:sz w:val="21"/>
                      <w:szCs w:val="21"/>
                    </w:rPr>
                    <w:t>费用</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落实运营期环境保护措施</w:t>
                  </w:r>
                </w:p>
              </w:tc>
              <w:tc>
                <w:tcPr>
                  <w:tcW w:w="106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4</w:t>
                  </w:r>
                </w:p>
              </w:tc>
              <w:tc>
                <w:tcPr>
                  <w:tcW w:w="1018"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4</w:t>
                  </w:r>
                </w:p>
              </w:tc>
              <w:tc>
                <w:tcPr>
                  <w:tcW w:w="1707"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15</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环保手续（环评、验收）</w:t>
                  </w:r>
                </w:p>
              </w:tc>
              <w:tc>
                <w:tcPr>
                  <w:tcW w:w="332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eastAsia="zh-CN"/>
                    </w:rPr>
                    <w:t>环评手续已满足，正在进行验收手续</w:t>
                  </w:r>
                </w:p>
              </w:tc>
              <w:tc>
                <w:tcPr>
                  <w:tcW w:w="1061" w:type="dxa"/>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val="en-US" w:eastAsia="zh-CN"/>
                    </w:rPr>
                    <w:t>9</w:t>
                  </w:r>
                </w:p>
              </w:tc>
              <w:tc>
                <w:tcPr>
                  <w:tcW w:w="1018" w:type="dxa"/>
                  <w:vAlign w:val="center"/>
                </w:tcPr>
                <w:p>
                  <w:pPr>
                    <w:widowControl w:val="0"/>
                    <w:jc w:val="center"/>
                    <w:rPr>
                      <w:rFonts w:hint="default" w:ascii="宋体" w:hAnsi="宋体" w:eastAsia="宋体" w:cs="宋体"/>
                      <w:bCs/>
                      <w:color w:val="auto"/>
                      <w:kern w:val="2"/>
                      <w:sz w:val="21"/>
                      <w:szCs w:val="21"/>
                      <w:lang w:val="en-US" w:eastAsia="zh-CN" w:bidi="ar-SA"/>
                    </w:rPr>
                  </w:pPr>
                  <w:r>
                    <w:rPr>
                      <w:rFonts w:hint="eastAsia" w:cs="宋体"/>
                      <w:color w:val="auto"/>
                      <w:sz w:val="21"/>
                      <w:szCs w:val="21"/>
                      <w:lang w:val="en-US" w:eastAsia="zh-CN"/>
                    </w:rPr>
                    <w:t>9.2</w:t>
                  </w:r>
                </w:p>
              </w:tc>
              <w:tc>
                <w:tcPr>
                  <w:tcW w:w="1707" w:type="dxa"/>
                  <w:vAlign w:val="center"/>
                </w:tcPr>
                <w:p>
                  <w:pPr>
                    <w:widowControl w:val="0"/>
                    <w:jc w:val="center"/>
                    <w:rPr>
                      <w:rFonts w:hint="eastAsia" w:ascii="宋体" w:hAnsi="宋体" w:eastAsia="宋体" w:cs="宋体"/>
                      <w:color w:val="auto"/>
                      <w:sz w:val="21"/>
                      <w:szCs w:val="21"/>
                      <w:lang w:val="en-US" w:eastAsia="zh-CN"/>
                    </w:rPr>
                  </w:pPr>
                  <w:r>
                    <w:rPr>
                      <w:rFonts w:hint="eastAsia" w:cs="宋体"/>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16</w:t>
                  </w:r>
                </w:p>
              </w:tc>
              <w:tc>
                <w:tcPr>
                  <w:tcW w:w="636" w:type="dxa"/>
                  <w:vMerge w:val="restart"/>
                  <w:vAlign w:val="center"/>
                </w:tcPr>
                <w:p>
                  <w:pPr>
                    <w:widowControl w:val="0"/>
                    <w:jc w:val="center"/>
                    <w:rPr>
                      <w:rFonts w:hint="eastAsia" w:ascii="宋体" w:hAnsi="宋体" w:eastAsia="宋体" w:cs="宋体"/>
                      <w:bCs/>
                      <w:color w:val="auto"/>
                      <w:kern w:val="2"/>
                      <w:sz w:val="21"/>
                      <w:szCs w:val="21"/>
                      <w:lang w:val="en-US" w:eastAsia="zh-CN" w:bidi="ar-SA"/>
                    </w:rPr>
                  </w:pPr>
                  <w:r>
                    <w:rPr>
                      <w:rFonts w:hint="eastAsia" w:cs="宋体"/>
                      <w:bCs/>
                      <w:color w:val="auto"/>
                      <w:kern w:val="2"/>
                      <w:sz w:val="21"/>
                      <w:szCs w:val="21"/>
                      <w:lang w:val="en-US" w:eastAsia="zh-CN" w:bidi="ar-SA"/>
                    </w:rPr>
                    <w:t>非放污染治理措施</w:t>
                  </w:r>
                </w:p>
              </w:tc>
              <w:tc>
                <w:tcPr>
                  <w:tcW w:w="956"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废气</w:t>
                  </w:r>
                </w:p>
              </w:tc>
              <w:tc>
                <w:tcPr>
                  <w:tcW w:w="3321"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自然通风</w:t>
                  </w:r>
                </w:p>
              </w:tc>
              <w:tc>
                <w:tcPr>
                  <w:tcW w:w="1061" w:type="dxa"/>
                  <w:vAlign w:val="center"/>
                </w:tcPr>
                <w:p>
                  <w:pPr>
                    <w:widowControl w:val="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1018" w:type="dxa"/>
                  <w:vAlign w:val="center"/>
                </w:tcPr>
                <w:p>
                  <w:pPr>
                    <w:widowControl w:val="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1707"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17</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废水</w:t>
                  </w:r>
                </w:p>
              </w:tc>
              <w:tc>
                <w:tcPr>
                  <w:tcW w:w="3321"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依托现在设施</w:t>
                  </w:r>
                </w:p>
              </w:tc>
              <w:tc>
                <w:tcPr>
                  <w:tcW w:w="1061" w:type="dxa"/>
                  <w:vAlign w:val="center"/>
                </w:tcPr>
                <w:p>
                  <w:pPr>
                    <w:widowControl w:val="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1018" w:type="dxa"/>
                  <w:vAlign w:val="center"/>
                </w:tcPr>
                <w:p>
                  <w:pPr>
                    <w:widowControl w:val="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1707"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18</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噪声</w:t>
                  </w:r>
                </w:p>
              </w:tc>
              <w:tc>
                <w:tcPr>
                  <w:tcW w:w="3321"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选用低噪声设备</w:t>
                  </w:r>
                </w:p>
              </w:tc>
              <w:tc>
                <w:tcPr>
                  <w:tcW w:w="1061" w:type="dxa"/>
                  <w:vAlign w:val="center"/>
                </w:tcPr>
                <w:p>
                  <w:pPr>
                    <w:widowControl w:val="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1018" w:type="dxa"/>
                  <w:vAlign w:val="center"/>
                </w:tcPr>
                <w:p>
                  <w:pPr>
                    <w:widowControl w:val="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1707"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pStyle w:val="2"/>
                    <w:numPr>
                      <w:ilvl w:val="0"/>
                      <w:numId w:val="0"/>
                    </w:num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19</w:t>
                  </w:r>
                </w:p>
              </w:tc>
              <w:tc>
                <w:tcPr>
                  <w:tcW w:w="636" w:type="dxa"/>
                  <w:vMerge w:val="continue"/>
                  <w:vAlign w:val="center"/>
                </w:tcPr>
                <w:p>
                  <w:pPr>
                    <w:widowControl w:val="0"/>
                    <w:jc w:val="center"/>
                    <w:rPr>
                      <w:rFonts w:hint="eastAsia" w:ascii="宋体" w:hAnsi="宋体" w:eastAsia="宋体" w:cs="宋体"/>
                      <w:bCs/>
                      <w:color w:val="auto"/>
                      <w:kern w:val="2"/>
                      <w:sz w:val="21"/>
                      <w:szCs w:val="21"/>
                      <w:lang w:val="en-US" w:eastAsia="zh-CN" w:bidi="ar-SA"/>
                    </w:rPr>
                  </w:pPr>
                </w:p>
              </w:tc>
              <w:tc>
                <w:tcPr>
                  <w:tcW w:w="956"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固废</w:t>
                  </w:r>
                </w:p>
              </w:tc>
              <w:tc>
                <w:tcPr>
                  <w:tcW w:w="3321"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依托现有设施</w:t>
                  </w:r>
                </w:p>
              </w:tc>
              <w:tc>
                <w:tcPr>
                  <w:tcW w:w="1061" w:type="dxa"/>
                  <w:vAlign w:val="center"/>
                </w:tcPr>
                <w:p>
                  <w:pPr>
                    <w:widowControl w:val="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1018" w:type="dxa"/>
                  <w:vAlign w:val="center"/>
                </w:tcPr>
                <w:p>
                  <w:pPr>
                    <w:widowControl w:val="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1707" w:type="dxa"/>
                  <w:vAlign w:val="center"/>
                </w:tcPr>
                <w:p>
                  <w:pPr>
                    <w:widowControl w:val="0"/>
                    <w:jc w:val="center"/>
                    <w:rPr>
                      <w:rFonts w:hint="eastAsia" w:ascii="宋体" w:hAnsi="宋体" w:eastAsia="宋体" w:cs="宋体"/>
                      <w:color w:val="auto"/>
                      <w:sz w:val="21"/>
                      <w:szCs w:val="21"/>
                      <w:lang w:eastAsia="zh-CN"/>
                    </w:rPr>
                  </w:pPr>
                  <w:r>
                    <w:rPr>
                      <w:rFonts w:hint="eastAsia" w:cs="宋体"/>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1" w:type="dxa"/>
                  <w:gridSpan w:val="4"/>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合计</w:t>
                  </w:r>
                </w:p>
              </w:tc>
              <w:tc>
                <w:tcPr>
                  <w:tcW w:w="1061"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35.7</w:t>
                  </w:r>
                </w:p>
              </w:tc>
              <w:tc>
                <w:tcPr>
                  <w:tcW w:w="1018" w:type="dxa"/>
                  <w:vAlign w:val="center"/>
                </w:tcPr>
                <w:p>
                  <w:pPr>
                    <w:pStyle w:val="2"/>
                    <w:numPr>
                      <w:ilvl w:val="0"/>
                      <w:numId w:val="0"/>
                    </w:numPr>
                    <w:spacing w:line="24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36.6</w:t>
                  </w:r>
                </w:p>
              </w:tc>
              <w:tc>
                <w:tcPr>
                  <w:tcW w:w="1707" w:type="dxa"/>
                  <w:vAlign w:val="center"/>
                </w:tcPr>
                <w:p>
                  <w:pPr>
                    <w:pStyle w:val="2"/>
                    <w:numPr>
                      <w:ilvl w:val="0"/>
                      <w:numId w:val="0"/>
                    </w:num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+0.9</w:t>
                  </w:r>
                </w:p>
              </w:tc>
            </w:tr>
            <w:bookmarkEnd w:id="14"/>
          </w:tbl>
          <w:p>
            <w:pPr>
              <w:spacing w:before="62" w:beforeLines="20" w:line="360" w:lineRule="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lang w:val="en-US" w:eastAsia="zh-CN"/>
              </w:rPr>
              <w:t>二、</w:t>
            </w:r>
            <w:r>
              <w:rPr>
                <w:rFonts w:hint="eastAsia" w:asciiTheme="minorEastAsia" w:hAnsiTheme="minorEastAsia" w:eastAsiaTheme="minorEastAsia" w:cstheme="minorEastAsia"/>
                <w:b/>
                <w:bCs/>
                <w:color w:val="auto"/>
              </w:rPr>
              <w:t>主要工艺流程及产污环节</w:t>
            </w:r>
          </w:p>
          <w:p>
            <w:pPr>
              <w:keepNext w:val="0"/>
              <w:keepLines w:val="0"/>
              <w:widowControl/>
              <w:suppressLineNumbers w:val="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 xml:space="preserve">1 </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kern w:val="0"/>
                <w:sz w:val="24"/>
                <w:szCs w:val="24"/>
                <w:lang w:val="en-US" w:eastAsia="zh-CN" w:bidi="ar"/>
              </w:rPr>
              <w:t>DSA设备系统组成</w:t>
            </w:r>
          </w:p>
          <w:p>
            <w:pPr>
              <w:keepNext w:val="0"/>
              <w:keepLines w:val="0"/>
              <w:widowControl/>
              <w:suppressLineNumbers w:val="0"/>
              <w:spacing w:line="360" w:lineRule="auto"/>
              <w:ind w:firstLine="480" w:firstLineChars="200"/>
              <w:jc w:val="both"/>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zh-CN"/>
              </w:rPr>
              <w:t>DSA组成：Gantry，俗称“机架”或“C型臂”，由“L”臂、PIVOT、“C”臂组成，同时还包了数字平板探测器、球管、束光器等部件；专业手术床；Atlas机柜；球管和数字平板探测器分别通过各自的水冷机控制温度；图像处理系统。DSA技术是常规血管造影术和计算机处理技术相结合的产物，其基本原理和技术为：X线穿过人体各解剖结构形成荧光影像，经平板探测器增强后为电视摄像管采集而形成视频摄像。再经对数增幅和模/数转换形成数字影像，产生数字减影图像。</w:t>
            </w:r>
          </w:p>
          <w:p>
            <w:pPr>
              <w:pStyle w:val="2"/>
              <w:numPr>
                <w:ilvl w:val="0"/>
                <w:numId w:val="0"/>
              </w:numPr>
              <w:jc w:val="both"/>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2、工作原理</w:t>
            </w:r>
          </w:p>
          <w:p>
            <w:pPr>
              <w:spacing w:line="480" w:lineRule="exact"/>
              <w:ind w:right="85" w:firstLine="480" w:firstLineChars="200"/>
              <w:rPr>
                <w:rFonts w:ascii="Times New Roman" w:hAnsi="Times New Roman"/>
                <w:b/>
                <w:bCs/>
                <w:color w:val="auto"/>
              </w:rPr>
            </w:pPr>
            <w:r>
              <w:rPr>
                <w:rFonts w:hint="eastAsia" w:asciiTheme="minorEastAsia" w:hAnsiTheme="minorEastAsia" w:eastAsiaTheme="minorEastAsia" w:cstheme="minorEastAsia"/>
                <w:color w:val="auto"/>
                <w:kern w:val="2"/>
                <w:sz w:val="24"/>
                <w:szCs w:val="24"/>
                <w:lang w:val="en-US" w:eastAsia="zh-CN" w:bidi="zh-CN"/>
              </w:rPr>
              <w:t>数字减影血管造影系统（DSA）是采用X射线进行诊断治疗的设备。因诊断目的不同有很大的差别，但其基本结构都是由产生X射线的X射线管、供给X射线管灯丝电压及管电压的高压发生器、控制X射线的“量”和“质”及爆光时间的控制装置等设备组成。X射线管由阴极和阳极组成，阴极通常是装在聚焦杯中的钨灯丝，阳极靶则根据应用的需要，由不同的材料制成各种形状，一般用高原子序数的难熔金属（如钨、铂、金、钽等）制成，典型X射线管示意图见图2-5。当灯丝通电加热时，电子就“蒸发”出来，而聚焦杯使这些电子聚集成束，直接向嵌在金属阳极中的靶体射击。高电压加在X射线管的两极之间，使电子在射到靶体之前被加速到很高的速度，到达靶面被靶突然阻挡从而产生X射线</w:t>
            </w:r>
            <w:r>
              <w:rPr>
                <w:rFonts w:hint="eastAsia" w:ascii="Times New Roman" w:hAnsi="Times New Roman" w:cs="Times New Roman"/>
                <w:color w:val="auto"/>
                <w:kern w:val="2"/>
                <w:sz w:val="21"/>
                <w:szCs w:val="21"/>
                <w:lang w:val="en-US" w:eastAsia="zh-CN" w:bidi="zh-CN"/>
              </w:rPr>
              <w:t>。</w:t>
            </w:r>
          </w:p>
          <w:p>
            <w:pPr>
              <w:spacing w:before="62" w:beforeLines="20" w:line="360" w:lineRule="auto"/>
              <w:jc w:val="center"/>
              <w:rPr>
                <w:rFonts w:ascii="Times New Roman" w:hAnsi="Times New Roman"/>
                <w:color w:val="auto"/>
              </w:rPr>
            </w:pPr>
            <w:r>
              <w:rPr>
                <w:color w:val="auto"/>
                <w:sz w:val="28"/>
              </w:rPr>
              <w:drawing>
                <wp:inline distT="0" distB="0" distL="0" distR="0">
                  <wp:extent cx="4221480" cy="2028825"/>
                  <wp:effectExtent l="19050" t="19050" r="26670" b="9525"/>
                  <wp:docPr id="9" name="图片 9" descr="照片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照片 001"/>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a:xfrm>
                            <a:off x="0" y="0"/>
                            <a:ext cx="4226780" cy="2031203"/>
                          </a:xfrm>
                          <a:prstGeom prst="rect">
                            <a:avLst/>
                          </a:prstGeom>
                          <a:noFill/>
                          <a:ln w="9525" cmpd="sng">
                            <a:solidFill>
                              <a:srgbClr val="000000"/>
                            </a:solidFill>
                            <a:miter lim="800000"/>
                            <a:headEnd/>
                            <a:tailEnd/>
                          </a:ln>
                          <a:effectLst/>
                        </pic:spPr>
                      </pic:pic>
                    </a:graphicData>
                  </a:graphic>
                </wp:inline>
              </w:drawing>
            </w:r>
          </w:p>
          <w:p>
            <w:pPr>
              <w:spacing w:line="360" w:lineRule="auto"/>
              <w:jc w:val="center"/>
              <w:rPr>
                <w:rFonts w:ascii="黑体" w:hAnsi="黑体" w:eastAsia="黑体"/>
                <w:color w:val="auto"/>
              </w:rPr>
            </w:pPr>
            <w:r>
              <w:rPr>
                <w:rFonts w:hint="eastAsia" w:ascii="黑体" w:hAnsi="黑体" w:eastAsia="黑体"/>
                <w:color w:val="auto"/>
              </w:rPr>
              <w:t>图</w:t>
            </w:r>
            <w:r>
              <w:rPr>
                <w:rFonts w:ascii="黑体" w:hAnsi="黑体" w:eastAsia="黑体"/>
                <w:color w:val="auto"/>
              </w:rPr>
              <w:t>2-</w:t>
            </w:r>
            <w:r>
              <w:rPr>
                <w:rFonts w:hint="eastAsia" w:ascii="黑体" w:hAnsi="黑体" w:eastAsia="黑体"/>
                <w:color w:val="auto"/>
                <w:lang w:val="en-US" w:eastAsia="zh-CN"/>
              </w:rPr>
              <w:t>5</w:t>
            </w:r>
            <w:r>
              <w:rPr>
                <w:rFonts w:ascii="黑体" w:hAnsi="黑体" w:eastAsia="黑体"/>
                <w:color w:val="auto"/>
              </w:rPr>
              <w:t xml:space="preserve"> </w:t>
            </w:r>
            <w:r>
              <w:rPr>
                <w:rFonts w:hint="eastAsia" w:ascii="黑体" w:hAnsi="黑体" w:eastAsia="黑体"/>
                <w:color w:val="auto"/>
              </w:rPr>
              <w:t xml:space="preserve"> 典型X射线管示意图</w:t>
            </w:r>
          </w:p>
          <w:p>
            <w:pPr>
              <w:keepNext w:val="0"/>
              <w:keepLines w:val="0"/>
              <w:widowControl/>
              <w:suppressLineNumbers w:val="0"/>
              <w:spacing w:line="360" w:lineRule="auto"/>
              <w:ind w:firstLine="480" w:firstLineChars="200"/>
              <w:jc w:val="both"/>
              <w:rPr>
                <w:rFonts w:hint="eastAsia" w:asciiTheme="minorEastAsia" w:hAnsiTheme="minorEastAsia" w:eastAsiaTheme="minorEastAsia" w:cstheme="minorEastAsia"/>
                <w:color w:val="auto"/>
                <w:kern w:val="2"/>
                <w:sz w:val="24"/>
                <w:szCs w:val="24"/>
                <w:lang w:val="en-US" w:eastAsia="zh-CN" w:bidi="zh-CN"/>
              </w:rPr>
            </w:pPr>
            <w:r>
              <w:rPr>
                <w:rFonts w:hint="eastAsia" w:asciiTheme="minorEastAsia" w:hAnsiTheme="minorEastAsia" w:eastAsiaTheme="minorEastAsia" w:cstheme="minorEastAsia"/>
                <w:color w:val="auto"/>
                <w:kern w:val="2"/>
                <w:sz w:val="24"/>
                <w:szCs w:val="24"/>
                <w:lang w:val="en-US" w:eastAsia="zh-CN" w:bidi="zh-CN"/>
              </w:rPr>
              <w:t xml:space="preserve">本项目配备的是一台型号为Innova-3100-IQ的DSA。  </w:t>
            </w:r>
          </w:p>
          <w:p>
            <w:pPr>
              <w:keepNext w:val="0"/>
              <w:keepLines w:val="0"/>
              <w:widowControl/>
              <w:suppressLineNumbers w:val="0"/>
              <w:spacing w:line="360" w:lineRule="auto"/>
              <w:ind w:firstLine="480" w:firstLineChars="200"/>
              <w:jc w:val="both"/>
              <w:rPr>
                <w:rFonts w:hint="eastAsia" w:asciiTheme="minorEastAsia" w:hAnsiTheme="minorEastAsia" w:eastAsiaTheme="minorEastAsia" w:cstheme="minorEastAsia"/>
                <w:color w:val="auto"/>
                <w:kern w:val="2"/>
                <w:sz w:val="24"/>
                <w:szCs w:val="24"/>
                <w:lang w:val="en-US" w:eastAsia="zh-CN" w:bidi="zh-CN"/>
              </w:rPr>
            </w:pPr>
            <w:r>
              <w:rPr>
                <w:rFonts w:hint="eastAsia" w:asciiTheme="minorEastAsia" w:hAnsiTheme="minorEastAsia" w:eastAsiaTheme="minorEastAsia" w:cstheme="minorEastAsia"/>
                <w:color w:val="auto"/>
                <w:kern w:val="2"/>
                <w:sz w:val="24"/>
                <w:szCs w:val="24"/>
                <w:lang w:val="en-US" w:eastAsia="zh-CN" w:bidi="zh-CN"/>
              </w:rPr>
              <w:t>数字减影血管造影X射线机（DSA）是计算机与常规血管造影相结合的一种辅助治疗 的检查方法，是集电视技术、影像增强、数字电子学、计算机技术、图像处理技术多种科技手段于一体的系统。DSA主要采用时间减影法，即将造影剂未达到欲检部位前摄取的蒙片与造影剂注入后摄取的造影片在计算机中进行数字相减处理，仅显示有造影剂充盈的结构，具有高精密度和灵敏度。</w:t>
            </w:r>
          </w:p>
          <w:p>
            <w:pPr>
              <w:keepNext w:val="0"/>
              <w:keepLines w:val="0"/>
              <w:widowControl/>
              <w:suppressLineNumbers w:val="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3、DSA操作流程及产污环节</w:t>
            </w:r>
          </w:p>
          <w:p>
            <w:pPr>
              <w:keepNext w:val="0"/>
              <w:keepLines w:val="0"/>
              <w:widowControl/>
              <w:suppressLineNumbers w:val="0"/>
              <w:spacing w:line="360" w:lineRule="auto"/>
              <w:ind w:firstLine="480" w:firstLineChars="200"/>
              <w:jc w:val="both"/>
              <w:rPr>
                <w:rFonts w:hint="eastAsia" w:asciiTheme="minorEastAsia" w:hAnsiTheme="minorEastAsia" w:eastAsiaTheme="minorEastAsia" w:cstheme="minorEastAsia"/>
                <w:color w:val="auto"/>
                <w:kern w:val="2"/>
                <w:sz w:val="24"/>
                <w:szCs w:val="24"/>
                <w:lang w:val="en-US" w:eastAsia="zh-CN" w:bidi="zh-CN"/>
              </w:rPr>
            </w:pPr>
            <w:r>
              <w:rPr>
                <w:rFonts w:hint="eastAsia" w:asciiTheme="minorEastAsia" w:hAnsiTheme="minorEastAsia" w:eastAsiaTheme="minorEastAsia" w:cstheme="minorEastAsia"/>
                <w:color w:val="auto"/>
                <w:kern w:val="2"/>
                <w:sz w:val="24"/>
                <w:szCs w:val="24"/>
                <w:lang w:val="en-US" w:eastAsia="zh-CN" w:bidi="zh-CN"/>
              </w:rPr>
              <w:t xml:space="preserve">操作流程：DSA在进行曝光时分为两种情况： </w:t>
            </w:r>
          </w:p>
          <w:p>
            <w:pPr>
              <w:keepNext w:val="0"/>
              <w:keepLines w:val="0"/>
              <w:widowControl/>
              <w:suppressLineNumbers w:val="0"/>
              <w:spacing w:line="360" w:lineRule="auto"/>
              <w:ind w:firstLine="480" w:firstLineChars="200"/>
              <w:jc w:val="both"/>
              <w:rPr>
                <w:rFonts w:hint="eastAsia" w:asciiTheme="minorEastAsia" w:hAnsiTheme="minorEastAsia" w:eastAsiaTheme="minorEastAsia" w:cstheme="minorEastAsia"/>
                <w:color w:val="auto"/>
                <w:kern w:val="2"/>
                <w:sz w:val="24"/>
                <w:szCs w:val="24"/>
                <w:lang w:val="en-US" w:eastAsia="zh-CN" w:bidi="zh-CN"/>
              </w:rPr>
            </w:pPr>
            <w:r>
              <w:rPr>
                <w:rFonts w:hint="eastAsia" w:asciiTheme="minorEastAsia" w:hAnsiTheme="minorEastAsia" w:eastAsiaTheme="minorEastAsia" w:cstheme="minorEastAsia"/>
                <w:color w:val="auto"/>
                <w:kern w:val="2"/>
                <w:sz w:val="24"/>
                <w:szCs w:val="24"/>
                <w:lang w:val="en-US" w:eastAsia="zh-CN" w:bidi="zh-CN"/>
              </w:rPr>
              <w:t>第一种情况（透视）：医生需进行手术治疗时，采用近台同室操作方式，通过控制DSA的X线系统曝光，对患者的部位进行间歇或连续式透视。具体方式是受检者位于机房手术床上，介入手术医生位于手术床旁，距DSA的X线管0.3~1.0m处，在非主射束方向，配备个人防护用品（如铅衣、铅围脖、铅手套等），同时手术床旁设有屏蔽挂帘，介入治疗中医师根据操作需求踩动手术床下的脚踏开关启动 DSA 的 X 线系统进行透视（DSA的X线系统连续发射X射线），通过显示屏上显示的连续画面，完成介入操作，医生、护士佩戴防护用品。</w:t>
            </w:r>
          </w:p>
          <w:p>
            <w:pPr>
              <w:keepNext w:val="0"/>
              <w:keepLines w:val="0"/>
              <w:widowControl/>
              <w:suppressLineNumbers w:val="0"/>
              <w:spacing w:line="360" w:lineRule="auto"/>
              <w:ind w:firstLine="480" w:firstLineChars="200"/>
              <w:jc w:val="both"/>
              <w:rPr>
                <w:rFonts w:hint="eastAsia" w:asciiTheme="minorEastAsia" w:hAnsiTheme="minorEastAsia" w:eastAsiaTheme="minorEastAsia" w:cstheme="minorEastAsia"/>
                <w:color w:val="auto"/>
                <w:kern w:val="2"/>
                <w:sz w:val="24"/>
                <w:szCs w:val="24"/>
                <w:lang w:val="en-US" w:eastAsia="zh-CN" w:bidi="zh-CN"/>
              </w:rPr>
            </w:pPr>
            <w:r>
              <w:rPr>
                <w:rFonts w:hint="eastAsia" w:asciiTheme="minorEastAsia" w:hAnsiTheme="minorEastAsia" w:eastAsiaTheme="minorEastAsia" w:cstheme="minorEastAsia"/>
                <w:color w:val="auto"/>
                <w:kern w:val="2"/>
                <w:sz w:val="24"/>
                <w:szCs w:val="24"/>
                <w:lang w:val="en-US" w:eastAsia="zh-CN" w:bidi="zh-CN"/>
              </w:rPr>
              <w:t>第二种情况（拍片）：操作人员采取隔室操作的方式（即操作医师在控制室内对病人进行曝光），通过控制DSA的X射线系统曝光，采集造影部位图像。具体方式是受检者位于机房检查床上，医护人员调整好 X 线球管、人体、影像增强器三者之间的距离，然后进入控制室，关好防护门。医生、操作人员通过操作间的电子计算机系统控制DSA的X射线系统曝光，采集造影部位图像。医生通过铅玻璃观察窗和操作台观察机房内病人情况，并通过对讲系统与病人交流。</w:t>
            </w:r>
          </w:p>
          <w:p>
            <w:pPr>
              <w:spacing w:before="62" w:beforeLines="20"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具体操作流程</w:t>
            </w:r>
            <w:r>
              <w:rPr>
                <w:rFonts w:hint="eastAsia" w:asciiTheme="minorEastAsia" w:hAnsiTheme="minorEastAsia" w:eastAsiaTheme="minorEastAsia" w:cstheme="minorEastAsia"/>
                <w:color w:val="auto"/>
                <w:sz w:val="24"/>
                <w:szCs w:val="24"/>
                <w:lang w:eastAsia="zh-CN"/>
              </w:rPr>
              <w:t>及产污节点</w:t>
            </w:r>
            <w:r>
              <w:rPr>
                <w:rFonts w:hint="eastAsia" w:asciiTheme="minorEastAsia" w:hAnsiTheme="minorEastAsia" w:eastAsiaTheme="minorEastAsia" w:cstheme="minorEastAsia"/>
                <w:color w:val="auto"/>
                <w:sz w:val="24"/>
                <w:szCs w:val="24"/>
              </w:rPr>
              <w:t>见图</w:t>
            </w:r>
            <w:r>
              <w:rPr>
                <w:rFonts w:hint="eastAsia" w:asciiTheme="minorEastAsia" w:hAnsiTheme="minorEastAsia" w:eastAsiaTheme="minorEastAsia" w:cstheme="minorEastAsia"/>
                <w:color w:val="auto"/>
                <w:sz w:val="24"/>
                <w:szCs w:val="24"/>
                <w:lang w:val="en-US" w:eastAsia="zh-CN"/>
              </w:rPr>
              <w:t>2-6</w:t>
            </w:r>
          </w:p>
          <w:p>
            <w:pPr>
              <w:spacing w:before="62" w:beforeLines="20" w:line="360" w:lineRule="auto"/>
              <w:jc w:val="center"/>
              <w:rPr>
                <w:rFonts w:ascii="Times New Roman" w:hAnsi="Times New Roman"/>
                <w:color w:val="auto"/>
              </w:rPr>
            </w:pPr>
            <w:r>
              <w:rPr>
                <w:color w:val="auto"/>
              </w:rPr>
              <w:drawing>
                <wp:inline distT="0" distB="0" distL="114300" distR="114300">
                  <wp:extent cx="5563235" cy="2243455"/>
                  <wp:effectExtent l="0" t="0" r="18415"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5563235" cy="2243455"/>
                          </a:xfrm>
                          <a:prstGeom prst="rect">
                            <a:avLst/>
                          </a:prstGeom>
                          <a:noFill/>
                          <a:ln>
                            <a:noFill/>
                          </a:ln>
                        </pic:spPr>
                      </pic:pic>
                    </a:graphicData>
                  </a:graphic>
                </wp:inline>
              </w:drawing>
            </w:r>
          </w:p>
          <w:p>
            <w:pPr>
              <w:spacing w:line="360" w:lineRule="auto"/>
              <w:jc w:val="center"/>
              <w:rPr>
                <w:rFonts w:ascii="黑体" w:hAnsi="黑体" w:eastAsia="黑体"/>
                <w:color w:val="auto"/>
              </w:rPr>
            </w:pPr>
            <w:r>
              <w:rPr>
                <w:rFonts w:ascii="黑体" w:hAnsi="黑体" w:eastAsia="黑体"/>
                <w:color w:val="auto"/>
              </w:rPr>
              <w:t>图2-</w:t>
            </w:r>
            <w:r>
              <w:rPr>
                <w:rFonts w:hint="eastAsia" w:ascii="黑体" w:hAnsi="黑体" w:eastAsia="黑体"/>
                <w:color w:val="auto"/>
                <w:lang w:val="en-US" w:eastAsia="zh-CN"/>
              </w:rPr>
              <w:t>6</w:t>
            </w:r>
            <w:r>
              <w:rPr>
                <w:rFonts w:ascii="黑体" w:hAnsi="黑体" w:eastAsia="黑体"/>
                <w:color w:val="auto"/>
              </w:rPr>
              <w:t xml:space="preserve">  DSA介入手术诊疗流程及产污环节示意图</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4、</w:t>
            </w:r>
            <w:r>
              <w:rPr>
                <w:rFonts w:hint="eastAsia" w:asciiTheme="minorEastAsia" w:hAnsiTheme="minorEastAsia" w:eastAsiaTheme="minorEastAsia" w:cstheme="minorEastAsia"/>
                <w:b/>
                <w:bCs/>
                <w:color w:val="auto"/>
                <w:sz w:val="24"/>
                <w:szCs w:val="24"/>
              </w:rPr>
              <w:t>介入治疗人流、物流走向</w:t>
            </w:r>
          </w:p>
          <w:p>
            <w:pPr>
              <w:pStyle w:val="62"/>
              <w:widowControl w:val="0"/>
              <w:spacing w:line="360" w:lineRule="auto"/>
              <w:ind w:firstLine="480"/>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sz w:val="24"/>
                <w:szCs w:val="24"/>
              </w:rPr>
              <w:t>根据</w:t>
            </w:r>
            <w:r>
              <w:rPr>
                <w:rFonts w:hint="eastAsia" w:asciiTheme="minorEastAsia" w:hAnsiTheme="minorEastAsia" w:eastAsiaTheme="minorEastAsia" w:cstheme="minorEastAsia"/>
                <w:color w:val="auto"/>
                <w:sz w:val="24"/>
                <w:szCs w:val="24"/>
                <w:lang w:val="en-US" w:eastAsia="zh-CN"/>
              </w:rPr>
              <w:t>DSA</w:t>
            </w:r>
            <w:r>
              <w:rPr>
                <w:rFonts w:hint="eastAsia" w:asciiTheme="minorEastAsia" w:hAnsiTheme="minorEastAsia" w:eastAsiaTheme="minorEastAsia" w:cstheme="minorEastAsia"/>
                <w:color w:val="auto"/>
                <w:sz w:val="24"/>
                <w:szCs w:val="24"/>
              </w:rPr>
              <w:t>工作原理和治疗流程，</w:t>
            </w:r>
            <w:r>
              <w:rPr>
                <w:rFonts w:hint="eastAsia" w:asciiTheme="minorEastAsia" w:hAnsiTheme="minorEastAsia" w:eastAsiaTheme="minorEastAsia" w:cstheme="minorEastAsia"/>
                <w:color w:val="auto"/>
                <w:sz w:val="24"/>
                <w:szCs w:val="24"/>
                <w:lang w:val="en-US" w:eastAsia="zh-CN"/>
              </w:rPr>
              <w:t>DSA</w:t>
            </w:r>
            <w:r>
              <w:rPr>
                <w:rFonts w:hint="eastAsia" w:asciiTheme="minorEastAsia" w:hAnsiTheme="minorEastAsia" w:eastAsiaTheme="minorEastAsia" w:cstheme="minorEastAsia"/>
                <w:color w:val="auto"/>
                <w:sz w:val="24"/>
                <w:szCs w:val="24"/>
              </w:rPr>
              <w:t>在非检查状态下不产生射线，只有在开机并处于出线状态下才会发出X射线，造影剂无放射性污染。介入治疗手术需在无菌条件下操作。</w:t>
            </w:r>
            <w:r>
              <w:rPr>
                <w:rFonts w:hint="eastAsia" w:asciiTheme="minorEastAsia" w:hAnsiTheme="minorEastAsia" w:eastAsiaTheme="minorEastAsia" w:cstheme="minorEastAsia"/>
                <w:color w:val="auto"/>
                <w:sz w:val="24"/>
                <w:szCs w:val="24"/>
                <w:lang w:eastAsia="zh-CN"/>
              </w:rPr>
              <w:t>因此，</w:t>
            </w:r>
            <w:r>
              <w:rPr>
                <w:rFonts w:hint="eastAsia" w:asciiTheme="minorEastAsia" w:hAnsiTheme="minorEastAsia" w:eastAsiaTheme="minorEastAsia" w:cstheme="minorEastAsia"/>
                <w:color w:val="auto"/>
                <w:sz w:val="24"/>
                <w:szCs w:val="24"/>
              </w:rPr>
              <w:t>介入治疗</w:t>
            </w:r>
            <w:r>
              <w:rPr>
                <w:rFonts w:hint="eastAsia" w:asciiTheme="minorEastAsia" w:hAnsiTheme="minorEastAsia" w:eastAsiaTheme="minorEastAsia" w:cstheme="minorEastAsia"/>
                <w:color w:val="auto"/>
                <w:sz w:val="24"/>
                <w:szCs w:val="24"/>
                <w:lang w:eastAsia="zh-CN"/>
              </w:rPr>
              <w:t>需要</w:t>
            </w:r>
            <w:r>
              <w:rPr>
                <w:rFonts w:hint="eastAsia" w:asciiTheme="minorEastAsia" w:hAnsiTheme="minorEastAsia" w:eastAsiaTheme="minorEastAsia" w:cstheme="minorEastAsia"/>
                <w:color w:val="auto"/>
                <w:sz w:val="24"/>
                <w:szCs w:val="24"/>
              </w:rPr>
              <w:t>对人流</w:t>
            </w:r>
            <w:r>
              <w:rPr>
                <w:rFonts w:hint="eastAsia" w:asciiTheme="minorEastAsia" w:hAnsiTheme="minorEastAsia" w:eastAsiaTheme="minorEastAsia" w:cstheme="minorEastAsia"/>
                <w:color w:val="auto"/>
                <w:sz w:val="24"/>
                <w:szCs w:val="24"/>
                <w:lang w:eastAsia="zh-CN"/>
              </w:rPr>
              <w:t>、污物流</w:t>
            </w:r>
            <w:r>
              <w:rPr>
                <w:rFonts w:hint="eastAsia" w:asciiTheme="minorEastAsia" w:hAnsiTheme="minorEastAsia" w:eastAsiaTheme="minorEastAsia" w:cstheme="minorEastAsia"/>
                <w:color w:val="auto"/>
                <w:sz w:val="24"/>
                <w:szCs w:val="24"/>
              </w:rPr>
              <w:t>的走向</w:t>
            </w:r>
            <w:r>
              <w:rPr>
                <w:rFonts w:hint="eastAsia" w:asciiTheme="minorEastAsia" w:hAnsiTheme="minorEastAsia" w:eastAsiaTheme="minorEastAsia" w:cstheme="minorEastAsia"/>
                <w:color w:val="auto"/>
                <w:sz w:val="24"/>
                <w:szCs w:val="24"/>
                <w:lang w:val="en-US" w:eastAsia="zh-CN"/>
              </w:rPr>
              <w:t>进行分区</w:t>
            </w:r>
            <w:r>
              <w:rPr>
                <w:rFonts w:hint="eastAsia" w:asciiTheme="minorEastAsia" w:hAnsiTheme="minorEastAsia" w:eastAsiaTheme="minorEastAsia" w:cstheme="minorEastAsia"/>
                <w:color w:val="auto"/>
                <w:sz w:val="24"/>
                <w:szCs w:val="24"/>
              </w:rPr>
              <w:t>规划，</w:t>
            </w:r>
            <w:r>
              <w:rPr>
                <w:rFonts w:hint="eastAsia" w:asciiTheme="minorEastAsia" w:hAnsiTheme="minorEastAsia" w:eastAsiaTheme="minorEastAsia" w:cstheme="minorEastAsia"/>
                <w:color w:val="auto"/>
                <w:sz w:val="24"/>
                <w:szCs w:val="24"/>
                <w:lang w:val="en-US" w:eastAsia="zh-CN"/>
              </w:rPr>
              <w:t>确保医生、病人与污物之间不交叉</w:t>
            </w:r>
            <w:r>
              <w:rPr>
                <w:rFonts w:hint="eastAsia" w:asciiTheme="minorEastAsia" w:hAnsiTheme="minorEastAsia" w:eastAsiaTheme="minorEastAsia" w:cstheme="minorEastAsia"/>
                <w:color w:val="auto"/>
                <w:sz w:val="24"/>
                <w:szCs w:val="24"/>
              </w:rPr>
              <w:t>。一般情况下，</w:t>
            </w:r>
            <w:r>
              <w:rPr>
                <w:rFonts w:hint="eastAsia" w:asciiTheme="minorEastAsia" w:hAnsiTheme="minorEastAsia" w:eastAsiaTheme="minorEastAsia" w:cstheme="minorEastAsia"/>
                <w:color w:val="auto"/>
                <w:sz w:val="24"/>
                <w:szCs w:val="24"/>
                <w:lang w:val="en-US" w:eastAsia="zh-CN"/>
              </w:rPr>
              <w:t>DSA</w:t>
            </w:r>
            <w:r>
              <w:rPr>
                <w:rFonts w:hint="eastAsia" w:asciiTheme="minorEastAsia" w:hAnsiTheme="minorEastAsia" w:eastAsiaTheme="minorEastAsia" w:cstheme="minorEastAsia"/>
                <w:color w:val="auto"/>
                <w:sz w:val="24"/>
                <w:szCs w:val="24"/>
              </w:rPr>
              <w:t>介入治疗手术医生需按《职业性外照射个人监测规范》（GBZ128-201</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）中5.3章节-剂量计的佩戴中要求介入放射学操作应佩戴2枚个人剂量计，穿戴必要的铅防护设备进行手术，只允许病人和职业医生出入</w:t>
            </w:r>
            <w:r>
              <w:rPr>
                <w:rFonts w:hint="eastAsia" w:asciiTheme="minorEastAsia" w:hAnsiTheme="minorEastAsia" w:eastAsiaTheme="minorEastAsia" w:cstheme="minorEastAsia"/>
                <w:color w:val="auto"/>
                <w:sz w:val="24"/>
                <w:szCs w:val="24"/>
                <w:lang w:eastAsia="zh-CN"/>
              </w:rPr>
              <w:t>机房，</w:t>
            </w:r>
            <w:r>
              <w:rPr>
                <w:rFonts w:hint="eastAsia" w:asciiTheme="minorEastAsia" w:hAnsiTheme="minorEastAsia" w:eastAsiaTheme="minorEastAsia" w:cstheme="minorEastAsia"/>
                <w:color w:val="auto"/>
                <w:sz w:val="24"/>
                <w:szCs w:val="24"/>
              </w:rPr>
              <w:t>病人与职业医生出入</w:t>
            </w:r>
            <w:r>
              <w:rPr>
                <w:rFonts w:hint="eastAsia" w:asciiTheme="minorEastAsia" w:hAnsiTheme="minorEastAsia" w:eastAsiaTheme="minorEastAsia" w:cstheme="minorEastAsia"/>
                <w:color w:val="auto"/>
                <w:sz w:val="24"/>
                <w:szCs w:val="24"/>
                <w:lang w:eastAsia="zh-CN"/>
              </w:rPr>
              <w:t>机房</w:t>
            </w:r>
            <w:r>
              <w:rPr>
                <w:rFonts w:hint="eastAsia" w:asciiTheme="minorEastAsia" w:hAnsiTheme="minorEastAsia" w:eastAsiaTheme="minorEastAsia" w:cstheme="minorEastAsia"/>
                <w:color w:val="auto"/>
                <w:sz w:val="24"/>
                <w:szCs w:val="24"/>
              </w:rPr>
              <w:t>相对独立。</w:t>
            </w:r>
            <w:r>
              <w:rPr>
                <w:rFonts w:hint="eastAsia" w:asciiTheme="minorEastAsia" w:hAnsiTheme="minorEastAsia" w:eastAsiaTheme="minorEastAsia" w:cstheme="minorEastAsia"/>
                <w:color w:val="auto"/>
                <w:sz w:val="24"/>
                <w:szCs w:val="24"/>
                <w:lang w:eastAsia="zh-CN"/>
              </w:rPr>
              <w:t>根据实地勘察，本项目</w:t>
            </w:r>
            <w:r>
              <w:rPr>
                <w:rFonts w:hint="eastAsia" w:asciiTheme="minorEastAsia" w:hAnsiTheme="minorEastAsia" w:eastAsiaTheme="minorEastAsia" w:cstheme="minorEastAsia"/>
                <w:color w:val="auto"/>
                <w:sz w:val="24"/>
                <w:szCs w:val="24"/>
              </w:rPr>
              <w:t>病人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职业医生</w:t>
            </w:r>
            <w:r>
              <w:rPr>
                <w:rFonts w:hint="eastAsia" w:asciiTheme="minorEastAsia" w:hAnsiTheme="minorEastAsia" w:eastAsiaTheme="minorEastAsia" w:cstheme="minorEastAsia"/>
                <w:color w:val="auto"/>
                <w:sz w:val="24"/>
                <w:szCs w:val="24"/>
                <w:lang w:eastAsia="zh-CN"/>
              </w:rPr>
              <w:t>和污物通道进行了明确的规划</w:t>
            </w:r>
            <w:r>
              <w:rPr>
                <w:rFonts w:hint="eastAsia" w:asciiTheme="minorEastAsia" w:hAnsiTheme="minorEastAsia" w:eastAsiaTheme="minorEastAsia" w:cstheme="minorEastAsia"/>
                <w:color w:val="auto"/>
                <w:sz w:val="24"/>
                <w:szCs w:val="24"/>
                <w:lang w:val="en-US" w:eastAsia="zh-CN"/>
              </w:rPr>
              <w:t>，确保了医生、病人与污物之间不交叉。DSA机房人流、物流走向见图2-7</w:t>
            </w:r>
          </w:p>
          <w:p>
            <w:pPr>
              <w:pStyle w:val="62"/>
              <w:widowControl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269230" cy="2845435"/>
                  <wp:effectExtent l="0" t="0" r="7620" b="1206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6"/>
                          <a:stretch>
                            <a:fillRect/>
                          </a:stretch>
                        </pic:blipFill>
                        <pic:spPr>
                          <a:xfrm>
                            <a:off x="0" y="0"/>
                            <a:ext cx="5269230" cy="2845435"/>
                          </a:xfrm>
                          <a:prstGeom prst="rect">
                            <a:avLst/>
                          </a:prstGeom>
                          <a:noFill/>
                          <a:ln>
                            <a:noFill/>
                          </a:ln>
                        </pic:spPr>
                      </pic:pic>
                    </a:graphicData>
                  </a:graphic>
                </wp:inline>
              </w:drawing>
            </w:r>
          </w:p>
          <w:p>
            <w:pPr>
              <w:pStyle w:val="62"/>
              <w:widowControl w:val="0"/>
              <w:spacing w:line="360" w:lineRule="auto"/>
              <w:ind w:firstLine="2730" w:firstLineChars="1300"/>
              <w:rPr>
                <w:rFonts w:hint="eastAsia" w:ascii="Times New Roman" w:hAnsi="Times New Roman" w:cs="Times New Roman"/>
                <w:color w:val="auto"/>
                <w:lang w:val="en-US" w:eastAsia="zh-CN"/>
              </w:rPr>
            </w:pPr>
            <w:r>
              <w:rPr>
                <w:rFonts w:hint="default" w:ascii="Times New Roman" w:hAnsi="Times New Roman" w:eastAsia="宋体" w:cs="Times New Roman"/>
                <w:b/>
                <w:bCs/>
                <w:color w:val="auto"/>
                <w:sz w:val="21"/>
                <w:szCs w:val="21"/>
                <w:lang w:eastAsia="zh-CN"/>
              </w:rPr>
              <w:t>图</w:t>
            </w:r>
            <w:r>
              <w:rPr>
                <w:rFonts w:hint="default" w:ascii="Times New Roman" w:hAnsi="Times New Roman" w:eastAsia="宋体" w:cs="Times New Roman"/>
                <w:b/>
                <w:bCs/>
                <w:color w:val="auto"/>
                <w:sz w:val="21"/>
                <w:szCs w:val="21"/>
                <w:lang w:val="en-US" w:eastAsia="zh-CN"/>
              </w:rPr>
              <w:t>2-7  人流、物流走向示意图</w:t>
            </w:r>
          </w:p>
          <w:p>
            <w:pPr>
              <w:pStyle w:val="62"/>
              <w:widowControl w:val="0"/>
              <w:spacing w:line="360" w:lineRule="auto"/>
              <w:ind w:left="0" w:leftChars="0" w:firstLine="0" w:firstLineChars="0"/>
              <w:rPr>
                <w:rFonts w:hint="eastAsia" w:ascii="宋体" w:hAnsi="宋体" w:eastAsia="宋体" w:cs="宋体"/>
                <w:b/>
                <w:bCs/>
                <w:color w:val="auto"/>
                <w:lang w:val="en-US" w:eastAsia="zh-CN"/>
              </w:rPr>
            </w:pPr>
            <w:r>
              <w:rPr>
                <w:rFonts w:hint="eastAsia" w:ascii="宋体" w:hAnsi="宋体" w:cs="宋体"/>
                <w:b/>
                <w:bCs/>
                <w:color w:val="auto"/>
                <w:lang w:val="en-US" w:eastAsia="zh-CN"/>
              </w:rPr>
              <w:t>5</w:t>
            </w:r>
            <w:r>
              <w:rPr>
                <w:rFonts w:hint="eastAsia" w:ascii="宋体" w:hAnsi="宋体" w:eastAsia="宋体" w:cs="宋体"/>
                <w:b/>
                <w:bCs/>
                <w:color w:val="auto"/>
                <w:lang w:val="en-US" w:eastAsia="zh-CN"/>
              </w:rPr>
              <w:t>工作区域管理</w:t>
            </w:r>
          </w:p>
          <w:p>
            <w:pPr>
              <w:pStyle w:val="62"/>
              <w:widowControl w:val="0"/>
              <w:spacing w:line="360" w:lineRule="auto"/>
              <w:ind w:firstLine="48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根据《电离辐射防护与</w:t>
            </w:r>
            <w:r>
              <w:rPr>
                <w:rFonts w:hint="eastAsia" w:ascii="宋体" w:hAnsi="宋体" w:cs="宋体"/>
                <w:color w:val="auto"/>
                <w:sz w:val="24"/>
                <w:szCs w:val="24"/>
                <w:lang w:val="en-US" w:eastAsia="zh-CN"/>
              </w:rPr>
              <w:t>辐射源安全基本标准》（GB18871-2002)控制区和监督区的定义划定控制区和监督区，以避免无关人员受到不必要的照射。</w:t>
            </w:r>
          </w:p>
          <w:p>
            <w:pPr>
              <w:pStyle w:val="62"/>
              <w:widowControl w:val="0"/>
              <w:spacing w:line="360" w:lineRule="auto"/>
              <w:ind w:firstLine="480"/>
              <w:rPr>
                <w:rFonts w:hint="eastAsia" w:ascii="宋体" w:hAnsi="宋体" w:eastAsia="宋体" w:cs="宋体"/>
                <w:color w:val="auto"/>
              </w:rPr>
            </w:pPr>
            <w:r>
              <w:rPr>
                <w:rFonts w:hint="eastAsia" w:ascii="宋体" w:hAnsi="宋体" w:eastAsia="宋体" w:cs="宋体"/>
                <w:color w:val="auto"/>
                <w:sz w:val="24"/>
                <w:szCs w:val="24"/>
                <w:lang w:val="en-US" w:eastAsia="zh-CN"/>
              </w:rPr>
              <w:t>根据现场调查，医院已将扫描间设为控制区，</w:t>
            </w:r>
            <w:r>
              <w:rPr>
                <w:rFonts w:hint="eastAsia" w:ascii="宋体" w:hAnsi="宋体" w:eastAsia="宋体" w:cs="宋体"/>
                <w:color w:val="auto"/>
                <w:sz w:val="24"/>
                <w:szCs w:val="24"/>
                <w:lang w:eastAsia="zh-CN"/>
              </w:rPr>
              <w:t>操作间及部分候诊区</w:t>
            </w:r>
            <w:r>
              <w:rPr>
                <w:rFonts w:hint="eastAsia" w:ascii="宋体" w:hAnsi="宋体" w:eastAsia="宋体" w:cs="宋体"/>
                <w:color w:val="auto"/>
                <w:sz w:val="24"/>
                <w:szCs w:val="24"/>
                <w:lang w:val="en-US" w:eastAsia="zh-CN"/>
              </w:rPr>
              <w:t>设为监督区</w:t>
            </w:r>
            <w:r>
              <w:rPr>
                <w:rFonts w:hint="eastAsia" w:ascii="宋体" w:hAnsi="宋体" w:eastAsia="宋体" w:cs="宋体"/>
                <w:color w:val="auto"/>
              </w:rPr>
              <w:t>。</w:t>
            </w:r>
          </w:p>
          <w:p>
            <w:pPr>
              <w:pStyle w:val="62"/>
              <w:widowControl w:val="0"/>
              <w:spacing w:line="360" w:lineRule="auto"/>
              <w:ind w:firstLine="480"/>
              <w:rPr>
                <w:rFonts w:hint="eastAsia" w:ascii="宋体" w:hAnsi="宋体" w:eastAsia="宋体" w:cs="宋体"/>
                <w:color w:val="auto"/>
                <w:lang w:val="en-US" w:eastAsia="zh-CN"/>
              </w:rPr>
            </w:pPr>
            <w:r>
              <w:rPr>
                <w:rFonts w:hint="eastAsia" w:ascii="宋体" w:hAnsi="宋体" w:eastAsia="宋体" w:cs="宋体"/>
                <w:color w:val="auto"/>
                <w:lang w:eastAsia="zh-CN"/>
              </w:rPr>
              <w:t>项目分区图见图</w:t>
            </w:r>
            <w:r>
              <w:rPr>
                <w:rFonts w:hint="eastAsia" w:ascii="宋体" w:hAnsi="宋体" w:eastAsia="宋体" w:cs="宋体"/>
                <w:color w:val="auto"/>
                <w:lang w:val="en-US" w:eastAsia="zh-CN"/>
              </w:rPr>
              <w:t>2-8.</w:t>
            </w:r>
          </w:p>
          <w:p>
            <w:pPr>
              <w:pStyle w:val="62"/>
              <w:widowControl w:val="0"/>
              <w:spacing w:line="360" w:lineRule="auto"/>
              <w:ind w:left="0" w:leftChars="0" w:firstLine="0" w:firstLineChars="0"/>
              <w:rPr>
                <w:color w:val="auto"/>
              </w:rPr>
            </w:pPr>
            <w:r>
              <w:rPr>
                <w:color w:val="auto"/>
              </w:rPr>
              <w:drawing>
                <wp:inline distT="0" distB="0" distL="114300" distR="114300">
                  <wp:extent cx="5941060" cy="3377565"/>
                  <wp:effectExtent l="0" t="0" r="2540"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941060" cy="3377565"/>
                          </a:xfrm>
                          <a:prstGeom prst="rect">
                            <a:avLst/>
                          </a:prstGeom>
                          <a:noFill/>
                          <a:ln>
                            <a:noFill/>
                          </a:ln>
                        </pic:spPr>
                      </pic:pic>
                    </a:graphicData>
                  </a:graphic>
                </wp:inline>
              </w:drawing>
            </w:r>
          </w:p>
          <w:p>
            <w:pPr>
              <w:pStyle w:val="62"/>
              <w:widowControl w:val="0"/>
              <w:spacing w:line="360" w:lineRule="auto"/>
              <w:ind w:left="0" w:leftChars="0" w:firstLine="2400" w:firstLineChars="1000"/>
              <w:rPr>
                <w:rFonts w:hint="default" w:eastAsia="宋体"/>
                <w:color w:val="auto"/>
                <w:lang w:val="en-US" w:eastAsia="zh-CN"/>
              </w:rPr>
            </w:pPr>
            <w:r>
              <w:rPr>
                <w:rFonts w:hint="eastAsia"/>
                <w:color w:val="auto"/>
                <w:lang w:eastAsia="zh-CN"/>
              </w:rPr>
              <w:t>图</w:t>
            </w:r>
            <w:r>
              <w:rPr>
                <w:rFonts w:hint="eastAsia"/>
                <w:color w:val="auto"/>
                <w:lang w:val="en-US" w:eastAsia="zh-CN"/>
              </w:rPr>
              <w:t>2-8  控制区和监督区划分示意图</w:t>
            </w:r>
          </w:p>
        </w:tc>
      </w:tr>
    </w:tbl>
    <w:p>
      <w:pPr>
        <w:pStyle w:val="4"/>
        <w:spacing w:line="360" w:lineRule="auto"/>
        <w:jc w:val="center"/>
        <w:rPr>
          <w:color w:val="auto"/>
        </w:rPr>
      </w:pPr>
      <w:bookmarkStart w:id="15" w:name="_Toc61439303"/>
      <w:r>
        <w:rPr>
          <w:rFonts w:hint="eastAsia" w:ascii="仿宋" w:hAnsi="仿宋" w:eastAsia="仿宋"/>
          <w:color w:val="auto"/>
          <w:sz w:val="28"/>
          <w:szCs w:val="28"/>
        </w:rPr>
        <w:t>表三  主要环境影响及污染防治措施</w:t>
      </w:r>
      <w:bookmarkEnd w:id="15"/>
    </w:p>
    <w:tbl>
      <w:tblPr>
        <w:tblStyle w:val="39"/>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tcPr>
          <w:p>
            <w:pPr>
              <w:pStyle w:val="3"/>
              <w:widowControl w:val="0"/>
              <w:numPr>
                <w:ilvl w:val="0"/>
                <w:numId w:val="0"/>
              </w:numPr>
              <w:ind w:leftChars="0"/>
              <w:jc w:val="both"/>
              <w:outlineLvl w:val="0"/>
              <w:rPr>
                <w:rFonts w:ascii="Times New Roman" w:hAnsi="Times New Roman" w:cs="Times New Roman"/>
                <w:color w:val="auto"/>
                <w:szCs w:val="28"/>
              </w:rPr>
            </w:pPr>
            <w:bookmarkStart w:id="16" w:name="_Toc61439304"/>
            <w:r>
              <w:rPr>
                <w:rFonts w:hint="eastAsia" w:ascii="Times New Roman" w:hAnsi="Times New Roman" w:cs="Times New Roman"/>
                <w:color w:val="auto"/>
                <w:szCs w:val="28"/>
                <w:lang w:eastAsia="zh-CN"/>
              </w:rPr>
              <w:t>一、</w:t>
            </w:r>
            <w:r>
              <w:rPr>
                <w:rFonts w:hint="eastAsia" w:ascii="Times New Roman" w:hAnsi="Times New Roman" w:cs="Times New Roman"/>
                <w:color w:val="auto"/>
                <w:szCs w:val="28"/>
              </w:rPr>
              <w:t>污染源项</w:t>
            </w:r>
            <w:r>
              <w:rPr>
                <w:rFonts w:ascii="Times New Roman" w:hAnsi="Times New Roman" w:cs="Times New Roman"/>
                <w:color w:val="auto"/>
                <w:szCs w:val="28"/>
              </w:rPr>
              <w:t>分析</w:t>
            </w:r>
            <w:bookmarkEnd w:id="16"/>
          </w:p>
          <w:p>
            <w:pPr>
              <w:widowControl w:val="0"/>
              <w:spacing w:line="360" w:lineRule="auto"/>
              <w:ind w:firstLine="480" w:firstLineChars="200"/>
              <w:jc w:val="both"/>
              <w:rPr>
                <w:rFonts w:hint="eastAsia" w:ascii="Times New Roman" w:hAnsi="Times New Roman" w:cs="Times New Roman"/>
                <w:color w:val="auto"/>
                <w:lang w:eastAsia="zh-CN"/>
              </w:rPr>
            </w:pPr>
            <w:r>
              <w:rPr>
                <w:rFonts w:hint="eastAsia" w:ascii="Times New Roman" w:hAnsi="Times New Roman" w:cs="Times New Roman"/>
                <w:color w:val="auto"/>
                <w:lang w:eastAsia="zh-CN"/>
              </w:rPr>
              <w:t>根据工艺流程与产污环节分析，项目主要污染下：</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1、</w:t>
            </w:r>
            <w:r>
              <w:rPr>
                <w:rFonts w:hint="eastAsia" w:ascii="Times New Roman" w:hAnsi="Times New Roman" w:cs="Times New Roman"/>
                <w:color w:val="auto"/>
              </w:rPr>
              <w:t>放射性污染因子：</w:t>
            </w:r>
            <w:r>
              <w:rPr>
                <w:rFonts w:hint="eastAsia" w:ascii="Times New Roman" w:hAnsi="Times New Roman" w:cs="Times New Roman"/>
                <w:color w:val="auto"/>
                <w:lang w:val="en-US" w:eastAsia="zh-CN"/>
              </w:rPr>
              <w:t>DSA工作时产生的</w:t>
            </w:r>
            <w:r>
              <w:rPr>
                <w:rFonts w:ascii="Times New Roman" w:hAnsi="Times New Roman" w:cs="Times New Roman"/>
                <w:color w:val="auto"/>
              </w:rPr>
              <w:t>X射线</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是本项目</w:t>
            </w:r>
            <w:r>
              <w:rPr>
                <w:rFonts w:hint="eastAsia" w:ascii="Times New Roman" w:hAnsi="Times New Roman" w:cs="Times New Roman"/>
                <w:color w:val="auto"/>
                <w:lang w:val="en-US" w:eastAsia="zh-CN"/>
              </w:rPr>
              <w:t>验收</w:t>
            </w:r>
            <w:r>
              <w:rPr>
                <w:rFonts w:hint="default" w:ascii="Times New Roman" w:hAnsi="Times New Roman" w:cs="Times New Roman"/>
                <w:color w:val="auto"/>
                <w:lang w:val="en-US" w:eastAsia="zh-CN"/>
              </w:rPr>
              <w:t>的主要污染物</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2、</w:t>
            </w:r>
            <w:r>
              <w:rPr>
                <w:rFonts w:ascii="Times New Roman" w:hAnsi="Times New Roman" w:cs="Times New Roman"/>
                <w:color w:val="auto"/>
              </w:rPr>
              <w:t>非放射性污染因子</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rPr>
              <w:t>废气</w:t>
            </w:r>
            <w:r>
              <w:rPr>
                <w:rFonts w:ascii="Times New Roman" w:hAnsi="Times New Roman" w:cs="Times New Roman"/>
                <w:color w:val="auto"/>
              </w:rPr>
              <w:t>：</w:t>
            </w:r>
            <w:r>
              <w:rPr>
                <w:rFonts w:hint="eastAsia" w:ascii="Times New Roman" w:hAnsi="Times New Roman" w:cs="Times New Roman"/>
                <w:color w:val="auto"/>
              </w:rPr>
              <w:t>在</w:t>
            </w:r>
            <w:r>
              <w:rPr>
                <w:rFonts w:ascii="Times New Roman" w:hAnsi="Times New Roman" w:cs="Times New Roman"/>
                <w:color w:val="auto"/>
              </w:rPr>
              <w:t>DSA开机并曝光时，X射线电离空气，产生</w:t>
            </w:r>
            <w:r>
              <w:rPr>
                <w:rFonts w:hint="eastAsia" w:ascii="Times New Roman" w:hAnsi="Times New Roman" w:cs="Times New Roman"/>
                <w:color w:val="auto"/>
                <w:lang w:eastAsia="zh-CN"/>
              </w:rPr>
              <w:t>少量的</w:t>
            </w:r>
            <w:r>
              <w:rPr>
                <w:rFonts w:ascii="Times New Roman" w:hAnsi="Times New Roman" w:cs="Times New Roman"/>
                <w:color w:val="auto"/>
              </w:rPr>
              <w:t>O</w:t>
            </w:r>
            <w:r>
              <w:rPr>
                <w:rFonts w:ascii="Times New Roman" w:hAnsi="Times New Roman" w:cs="Times New Roman"/>
                <w:color w:val="auto"/>
                <w:vertAlign w:val="subscript"/>
              </w:rPr>
              <w:t>3</w:t>
            </w:r>
            <w:r>
              <w:rPr>
                <w:rFonts w:hint="eastAsia" w:ascii="Times New Roman" w:hAnsi="Times New Roman" w:cs="Times New Roman"/>
                <w:color w:val="auto"/>
              </w:rPr>
              <w:t>和</w:t>
            </w:r>
            <w:r>
              <w:rPr>
                <w:rFonts w:ascii="Times New Roman" w:hAnsi="Times New Roman" w:cs="Times New Roman"/>
                <w:color w:val="auto"/>
              </w:rPr>
              <w:t>NO</w:t>
            </w:r>
            <w:r>
              <w:rPr>
                <w:rFonts w:ascii="Times New Roman" w:hAnsi="Times New Roman" w:cs="Times New Roman"/>
                <w:color w:val="auto"/>
                <w:vertAlign w:val="subscript"/>
              </w:rPr>
              <w:t>x</w:t>
            </w:r>
            <w:r>
              <w:rPr>
                <w:rFonts w:ascii="Times New Roman" w:hAnsi="Times New Roman" w:cs="Times New Roman"/>
                <w:color w:val="auto"/>
              </w:rPr>
              <w:t>。</w:t>
            </w:r>
          </w:p>
          <w:p>
            <w:pPr>
              <w:widowControl w:val="0"/>
              <w:spacing w:line="360" w:lineRule="auto"/>
              <w:ind w:firstLine="480" w:firstLineChars="200"/>
              <w:jc w:val="both"/>
              <w:rPr>
                <w:rFonts w:hint="eastAsia"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废水：</w:t>
            </w:r>
            <w:r>
              <w:rPr>
                <w:rFonts w:hint="default" w:ascii="Times New Roman" w:hAnsi="Times New Roman" w:cs="Times New Roman"/>
                <w:color w:val="auto"/>
              </w:rPr>
              <w:t>本项目</w:t>
            </w:r>
            <w:r>
              <w:rPr>
                <w:rFonts w:hint="default" w:ascii="Times New Roman" w:hAnsi="Times New Roman" w:cs="Times New Roman"/>
                <w:color w:val="auto"/>
                <w:lang w:eastAsia="zh-CN"/>
              </w:rPr>
              <w:t>运营期医务人员产生</w:t>
            </w:r>
            <w:r>
              <w:rPr>
                <w:rFonts w:hint="eastAsia" w:ascii="Times New Roman" w:hAnsi="Times New Roman" w:cs="Times New Roman"/>
                <w:color w:val="auto"/>
                <w:lang w:eastAsia="zh-CN"/>
              </w:rPr>
              <w:t>少量的</w:t>
            </w:r>
            <w:r>
              <w:rPr>
                <w:rFonts w:hint="default" w:ascii="Times New Roman" w:hAnsi="Times New Roman" w:cs="Times New Roman"/>
                <w:color w:val="auto"/>
                <w:lang w:eastAsia="zh-CN"/>
              </w:rPr>
              <w:t>生活污水，病员产生</w:t>
            </w:r>
            <w:r>
              <w:rPr>
                <w:rFonts w:hint="eastAsia" w:ascii="Times New Roman" w:hAnsi="Times New Roman" w:cs="Times New Roman"/>
                <w:color w:val="auto"/>
                <w:lang w:eastAsia="zh-CN"/>
              </w:rPr>
              <w:t>少量的</w:t>
            </w:r>
            <w:r>
              <w:rPr>
                <w:rFonts w:hint="default" w:ascii="Times New Roman" w:hAnsi="Times New Roman" w:cs="Times New Roman"/>
                <w:color w:val="auto"/>
                <w:lang w:eastAsia="zh-CN"/>
              </w:rPr>
              <w:t>医疗废水</w:t>
            </w:r>
            <w:r>
              <w:rPr>
                <w:rFonts w:hint="eastAsia" w:ascii="Times New Roman" w:hAnsi="Times New Roman" w:cs="Times New Roman"/>
                <w:color w:val="auto"/>
                <w:lang w:eastAsia="zh-CN"/>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eastAsia" w:ascii="Times New Roman" w:hAnsi="Times New Roman" w:cs="Times New Roman"/>
                <w:color w:val="auto"/>
              </w:rPr>
              <w:t>固体废弃物：本项目主要产生的固体废物为工作人员的办公及生活垃圾，介入手术中产生的医疗废物。</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val="en-US" w:eastAsia="zh-CN"/>
              </w:rPr>
              <w:t>）</w:t>
            </w:r>
            <w:r>
              <w:rPr>
                <w:rFonts w:hint="eastAsia" w:ascii="Times New Roman" w:hAnsi="Times New Roman" w:cs="Times New Roman"/>
                <w:color w:val="auto"/>
                <w:lang w:eastAsia="zh-CN"/>
              </w:rPr>
              <w:t>噪声</w:t>
            </w:r>
            <w:r>
              <w:rPr>
                <w:rFonts w:hint="eastAsia" w:ascii="Times New Roman" w:hAnsi="Times New Roman" w:cs="Times New Roman"/>
                <w:color w:val="auto"/>
              </w:rPr>
              <w:t>：</w:t>
            </w:r>
            <w:r>
              <w:rPr>
                <w:rFonts w:hint="eastAsia" w:ascii="Times New Roman" w:hAnsi="Times New Roman" w:cs="Times New Roman"/>
                <w:color w:val="auto"/>
                <w:lang w:eastAsia="zh-CN"/>
              </w:rPr>
              <w:t>空调外机工作时产生一定的噪声</w:t>
            </w:r>
            <w:r>
              <w:rPr>
                <w:rFonts w:hint="eastAsia" w:ascii="Times New Roman" w:hAnsi="Times New Roman" w:cs="Times New Roman"/>
                <w:color w:val="auto"/>
              </w:rPr>
              <w:t>。</w:t>
            </w:r>
          </w:p>
          <w:p>
            <w:pPr>
              <w:widowControl w:val="0"/>
              <w:numPr>
                <w:ilvl w:val="0"/>
                <w:numId w:val="0"/>
              </w:numPr>
              <w:spacing w:line="360" w:lineRule="auto"/>
              <w:jc w:val="center"/>
              <w:rPr>
                <w:rFonts w:hint="default" w:ascii="Times New Roman" w:hAnsi="Times New Roman" w:eastAsia="宋体" w:cs="Times New Roman"/>
                <w:b/>
                <w:bCs/>
                <w:color w:val="auto"/>
                <w:lang w:eastAsia="zh-CN"/>
              </w:rPr>
            </w:pPr>
            <w:bookmarkStart w:id="17" w:name="_Toc61439306"/>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3-</w:t>
            </w:r>
            <w:r>
              <w:rPr>
                <w:rFonts w:hint="eastAsia" w:cs="Times New Roman"/>
                <w:b/>
                <w:bCs/>
                <w:color w:val="auto"/>
                <w:lang w:val="en-US" w:eastAsia="zh-CN"/>
              </w:rPr>
              <w:t>1</w:t>
            </w:r>
            <w:r>
              <w:rPr>
                <w:rFonts w:hint="default" w:ascii="Times New Roman" w:hAnsi="Times New Roman" w:eastAsia="宋体" w:cs="Times New Roman"/>
                <w:b/>
                <w:bCs/>
                <w:color w:val="auto"/>
                <w:lang w:val="en-US" w:eastAsia="zh-CN"/>
              </w:rPr>
              <w:t xml:space="preserve"> </w:t>
            </w:r>
            <w:r>
              <w:rPr>
                <w:rFonts w:hint="eastAsia" w:ascii="Times New Roman" w:hAnsi="Times New Roman" w:cs="Times New Roman"/>
                <w:b/>
                <w:bCs/>
                <w:color w:val="auto"/>
                <w:lang w:val="en-US" w:eastAsia="zh-CN"/>
              </w:rPr>
              <w:t>项目</w:t>
            </w:r>
            <w:r>
              <w:rPr>
                <w:rFonts w:hint="default" w:ascii="Times New Roman" w:hAnsi="Times New Roman" w:eastAsia="宋体" w:cs="Times New Roman"/>
                <w:b/>
                <w:bCs/>
                <w:color w:val="auto"/>
                <w:lang w:eastAsia="zh-CN"/>
              </w:rPr>
              <w:t>污染因子及污染途径</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1072"/>
              <w:gridCol w:w="1146"/>
              <w:gridCol w:w="3750"/>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设备名称</w:t>
                  </w:r>
                </w:p>
              </w:tc>
              <w:tc>
                <w:tcPr>
                  <w:tcW w:w="2218" w:type="dxa"/>
                  <w:gridSpan w:val="2"/>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污染因子</w:t>
                  </w:r>
                </w:p>
              </w:tc>
              <w:tc>
                <w:tcPr>
                  <w:tcW w:w="3750"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污染途径</w:t>
                  </w:r>
                </w:p>
              </w:tc>
              <w:tc>
                <w:tcPr>
                  <w:tcW w:w="1742"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与环评是否一致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Merge w:val="restart"/>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DSA</w:t>
                  </w:r>
                </w:p>
              </w:tc>
              <w:tc>
                <w:tcPr>
                  <w:tcW w:w="1072"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放射性</w:t>
                  </w:r>
                </w:p>
              </w:tc>
              <w:tc>
                <w:tcPr>
                  <w:tcW w:w="1146"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X射线</w:t>
                  </w:r>
                </w:p>
              </w:tc>
              <w:tc>
                <w:tcPr>
                  <w:tcW w:w="3750" w:type="dxa"/>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对工作人员及周围公众造成外照射</w:t>
                  </w:r>
                </w:p>
              </w:tc>
              <w:tc>
                <w:tcPr>
                  <w:tcW w:w="1742" w:type="dxa"/>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8" w:type="dxa"/>
                  <w:vMerge w:val="continue"/>
                  <w:vAlign w:val="center"/>
                </w:tcPr>
                <w:p>
                  <w:pPr>
                    <w:widowControl w:val="0"/>
                    <w:jc w:val="center"/>
                    <w:rPr>
                      <w:rFonts w:hint="eastAsia" w:ascii="宋体" w:hAnsi="宋体" w:eastAsia="宋体" w:cs="宋体"/>
                      <w:color w:val="auto"/>
                      <w:sz w:val="21"/>
                      <w:szCs w:val="21"/>
                    </w:rPr>
                  </w:pPr>
                </w:p>
              </w:tc>
              <w:tc>
                <w:tcPr>
                  <w:tcW w:w="1072" w:type="dxa"/>
                  <w:vMerge w:val="restart"/>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非放射性</w:t>
                  </w:r>
                </w:p>
              </w:tc>
              <w:tc>
                <w:tcPr>
                  <w:tcW w:w="1146"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废气</w:t>
                  </w:r>
                </w:p>
              </w:tc>
              <w:tc>
                <w:tcPr>
                  <w:tcW w:w="3750" w:type="dxa"/>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cs="宋体"/>
                      <w:color w:val="auto"/>
                      <w:sz w:val="21"/>
                      <w:szCs w:val="21"/>
                      <w:lang w:val="en-US" w:eastAsia="zh-CN"/>
                    </w:rPr>
                    <w:t>少量</w:t>
                  </w:r>
                  <w:r>
                    <w:rPr>
                      <w:rFonts w:ascii="Times New Roman" w:hAnsi="Times New Roman" w:cs="Times New Roman"/>
                      <w:color w:val="auto"/>
                    </w:rPr>
                    <w:t>O</w:t>
                  </w:r>
                  <w:r>
                    <w:rPr>
                      <w:rFonts w:ascii="Times New Roman" w:hAnsi="Times New Roman" w:cs="Times New Roman"/>
                      <w:color w:val="auto"/>
                      <w:vertAlign w:val="subscript"/>
                    </w:rPr>
                    <w:t>3</w:t>
                  </w:r>
                  <w:r>
                    <w:rPr>
                      <w:rFonts w:hint="eastAsia" w:ascii="Times New Roman" w:hAnsi="Times New Roman" w:cs="Times New Roman"/>
                      <w:color w:val="auto"/>
                    </w:rPr>
                    <w:t>和</w:t>
                  </w:r>
                  <w:r>
                    <w:rPr>
                      <w:rFonts w:ascii="Times New Roman" w:hAnsi="Times New Roman" w:cs="Times New Roman"/>
                      <w:color w:val="auto"/>
                    </w:rPr>
                    <w:t>NO</w:t>
                  </w:r>
                  <w:r>
                    <w:rPr>
                      <w:rFonts w:ascii="Times New Roman" w:hAnsi="Times New Roman" w:cs="Times New Roman"/>
                      <w:color w:val="auto"/>
                      <w:vertAlign w:val="subscript"/>
                    </w:rPr>
                    <w:t>x</w:t>
                  </w:r>
                </w:p>
              </w:tc>
              <w:tc>
                <w:tcPr>
                  <w:tcW w:w="1742" w:type="dxa"/>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Merge w:val="continue"/>
                  <w:vAlign w:val="center"/>
                </w:tcPr>
                <w:p>
                  <w:pPr>
                    <w:widowControl w:val="0"/>
                    <w:jc w:val="center"/>
                    <w:rPr>
                      <w:rFonts w:hint="eastAsia" w:ascii="宋体" w:hAnsi="宋体" w:eastAsia="宋体" w:cs="宋体"/>
                      <w:color w:val="auto"/>
                      <w:sz w:val="21"/>
                      <w:szCs w:val="21"/>
                    </w:rPr>
                  </w:pPr>
                </w:p>
              </w:tc>
              <w:tc>
                <w:tcPr>
                  <w:tcW w:w="1072" w:type="dxa"/>
                  <w:vMerge w:val="continue"/>
                  <w:vAlign w:val="center"/>
                </w:tcPr>
                <w:p>
                  <w:pPr>
                    <w:widowControl w:val="0"/>
                    <w:jc w:val="center"/>
                    <w:rPr>
                      <w:rFonts w:hint="eastAsia" w:ascii="宋体" w:hAnsi="宋体" w:eastAsia="宋体" w:cs="宋体"/>
                      <w:color w:val="auto"/>
                      <w:sz w:val="21"/>
                      <w:szCs w:val="21"/>
                    </w:rPr>
                  </w:pPr>
                </w:p>
              </w:tc>
              <w:tc>
                <w:tcPr>
                  <w:tcW w:w="1146"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固体废弃物</w:t>
                  </w:r>
                </w:p>
              </w:tc>
              <w:tc>
                <w:tcPr>
                  <w:tcW w:w="3750" w:type="dxa"/>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办公及生活垃圾、手术产生的医疗废物</w:t>
                  </w:r>
                </w:p>
              </w:tc>
              <w:tc>
                <w:tcPr>
                  <w:tcW w:w="1742" w:type="dxa"/>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238" w:type="dxa"/>
                  <w:vMerge w:val="continue"/>
                  <w:vAlign w:val="center"/>
                </w:tcPr>
                <w:p>
                  <w:pPr>
                    <w:widowControl w:val="0"/>
                    <w:jc w:val="center"/>
                    <w:rPr>
                      <w:rFonts w:hint="eastAsia" w:ascii="宋体" w:hAnsi="宋体" w:eastAsia="宋体" w:cs="宋体"/>
                      <w:color w:val="auto"/>
                      <w:sz w:val="21"/>
                      <w:szCs w:val="21"/>
                    </w:rPr>
                  </w:pPr>
                </w:p>
              </w:tc>
              <w:tc>
                <w:tcPr>
                  <w:tcW w:w="1072" w:type="dxa"/>
                  <w:vMerge w:val="continue"/>
                  <w:vAlign w:val="center"/>
                </w:tcPr>
                <w:p>
                  <w:pPr>
                    <w:widowControl w:val="0"/>
                    <w:jc w:val="center"/>
                    <w:rPr>
                      <w:rFonts w:hint="eastAsia" w:ascii="宋体" w:hAnsi="宋体" w:eastAsia="宋体" w:cs="宋体"/>
                      <w:color w:val="auto"/>
                      <w:sz w:val="21"/>
                      <w:szCs w:val="21"/>
                    </w:rPr>
                  </w:pPr>
                </w:p>
              </w:tc>
              <w:tc>
                <w:tcPr>
                  <w:tcW w:w="1146"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废水</w:t>
                  </w:r>
                </w:p>
              </w:tc>
              <w:tc>
                <w:tcPr>
                  <w:tcW w:w="3750"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生活废水、医疗废水</w:t>
                  </w:r>
                </w:p>
              </w:tc>
              <w:tc>
                <w:tcPr>
                  <w:tcW w:w="1742"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238" w:type="dxa"/>
                  <w:vMerge w:val="continue"/>
                  <w:vAlign w:val="center"/>
                </w:tcPr>
                <w:p>
                  <w:pPr>
                    <w:widowControl w:val="0"/>
                    <w:jc w:val="center"/>
                    <w:rPr>
                      <w:rFonts w:hint="eastAsia" w:ascii="宋体" w:hAnsi="宋体" w:eastAsia="宋体" w:cs="宋体"/>
                      <w:color w:val="auto"/>
                      <w:sz w:val="21"/>
                      <w:szCs w:val="21"/>
                    </w:rPr>
                  </w:pPr>
                </w:p>
              </w:tc>
              <w:tc>
                <w:tcPr>
                  <w:tcW w:w="1072" w:type="dxa"/>
                  <w:vMerge w:val="continue"/>
                  <w:vAlign w:val="center"/>
                </w:tcPr>
                <w:p>
                  <w:pPr>
                    <w:widowControl w:val="0"/>
                    <w:jc w:val="center"/>
                    <w:rPr>
                      <w:rFonts w:hint="eastAsia" w:ascii="宋体" w:hAnsi="宋体" w:eastAsia="宋体" w:cs="宋体"/>
                      <w:color w:val="auto"/>
                      <w:sz w:val="21"/>
                      <w:szCs w:val="21"/>
                    </w:rPr>
                  </w:pPr>
                </w:p>
              </w:tc>
              <w:tc>
                <w:tcPr>
                  <w:tcW w:w="1146"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噪声</w:t>
                  </w:r>
                </w:p>
              </w:tc>
              <w:tc>
                <w:tcPr>
                  <w:tcW w:w="3750"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空调</w:t>
                  </w:r>
                  <w:r>
                    <w:rPr>
                      <w:rFonts w:hint="eastAsia" w:ascii="宋体" w:hAnsi="宋体" w:eastAsia="宋体" w:cs="宋体"/>
                      <w:color w:val="auto"/>
                      <w:sz w:val="21"/>
                      <w:szCs w:val="21"/>
                    </w:rPr>
                    <w:t>运行产生的噪声</w:t>
                  </w:r>
                </w:p>
              </w:tc>
              <w:tc>
                <w:tcPr>
                  <w:tcW w:w="1742"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bl>
          <w:p>
            <w:pPr>
              <w:keepNext w:val="0"/>
              <w:keepLines w:val="0"/>
              <w:widowControl/>
              <w:suppressLineNumbers w:val="0"/>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本项目主要污染源为DSA开机时产生的X射线。</w:t>
            </w:r>
          </w:p>
          <w:bookmarkEnd w:id="17"/>
          <w:p>
            <w:pPr>
              <w:pStyle w:val="62"/>
              <w:widowControl w:val="0"/>
              <w:numPr>
                <w:ilvl w:val="0"/>
                <w:numId w:val="0"/>
              </w:numPr>
              <w:spacing w:before="60" w:after="60" w:line="360" w:lineRule="auto"/>
              <w:ind w:leftChars="0"/>
              <w:jc w:val="both"/>
              <w:outlineLvl w:val="1"/>
              <w:rPr>
                <w:rFonts w:ascii="Times New Roman" w:hAnsi="Times New Roman" w:cs="Times New Roman"/>
                <w:b/>
                <w:bCs/>
                <w:color w:val="auto"/>
                <w:kern w:val="28"/>
                <w:szCs w:val="24"/>
              </w:rPr>
            </w:pPr>
            <w:bookmarkStart w:id="18" w:name="_Toc61439307"/>
            <w:r>
              <w:rPr>
                <w:rFonts w:hint="eastAsia" w:ascii="Times New Roman" w:hAnsi="Times New Roman" w:cs="Times New Roman"/>
                <w:b/>
                <w:color w:val="auto"/>
                <w:sz w:val="28"/>
                <w:szCs w:val="28"/>
                <w:lang w:val="en-US" w:eastAsia="zh-CN"/>
              </w:rPr>
              <w:t>二、</w:t>
            </w:r>
            <w:r>
              <w:rPr>
                <w:rFonts w:hint="eastAsia" w:ascii="Times New Roman" w:hAnsi="Times New Roman" w:cs="Times New Roman"/>
                <w:b/>
                <w:color w:val="auto"/>
                <w:sz w:val="28"/>
                <w:szCs w:val="28"/>
              </w:rPr>
              <w:t>污染物防治</w:t>
            </w:r>
            <w:r>
              <w:rPr>
                <w:rFonts w:ascii="Times New Roman" w:hAnsi="Times New Roman" w:cs="Times New Roman"/>
                <w:b/>
                <w:color w:val="auto"/>
                <w:sz w:val="28"/>
                <w:szCs w:val="28"/>
              </w:rPr>
              <w:t>措施</w:t>
            </w:r>
            <w:bookmarkEnd w:id="18"/>
          </w:p>
          <w:p>
            <w:pPr>
              <w:widowControl w:val="0"/>
              <w:autoSpaceDE w:val="0"/>
              <w:autoSpaceDN w:val="0"/>
              <w:snapToGrid w:val="0"/>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1.废气</w:t>
            </w:r>
          </w:p>
          <w:p>
            <w:pPr>
              <w:widowControl w:val="0"/>
              <w:autoSpaceDE w:val="0"/>
              <w:autoSpaceDN w:val="0"/>
              <w:snapToGrid w:val="0"/>
              <w:spacing w:line="360" w:lineRule="auto"/>
              <w:ind w:firstLine="480" w:firstLineChars="200"/>
              <w:jc w:val="both"/>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DSA运行时产生的少量的</w:t>
            </w:r>
            <w:r>
              <w:rPr>
                <w:rFonts w:hint="default" w:ascii="Times New Roman" w:hAnsi="Times New Roman" w:cs="Times New Roman"/>
                <w:color w:val="auto"/>
                <w:lang w:val="en-US" w:eastAsia="zh-CN"/>
              </w:rPr>
              <w:t>臭氧（O3）和氮氧化物（NOX）</w:t>
            </w:r>
            <w:r>
              <w:rPr>
                <w:rFonts w:hint="eastAsia" w:ascii="Times New Roman" w:hAnsi="Times New Roman" w:cs="Times New Roman"/>
                <w:color w:val="auto"/>
                <w:lang w:val="en-US" w:eastAsia="zh-CN"/>
              </w:rPr>
              <w:t>，本项目DSA机房</w:t>
            </w:r>
            <w:r>
              <w:rPr>
                <w:rFonts w:hint="default" w:ascii="Times New Roman" w:hAnsi="Times New Roman" w:cs="Times New Roman"/>
                <w:color w:val="auto"/>
                <w:lang w:val="en-US" w:eastAsia="zh-CN"/>
              </w:rPr>
              <w:t>采用柜式空调进行温度调节</w:t>
            </w:r>
            <w:r>
              <w:rPr>
                <w:rFonts w:hint="eastAsia" w:ascii="Times New Roman" w:hAnsi="Times New Roman" w:cs="Times New Roman"/>
                <w:color w:val="auto"/>
                <w:lang w:val="en-US" w:eastAsia="zh-CN"/>
              </w:rPr>
              <w:t>，</w:t>
            </w:r>
            <w:r>
              <w:rPr>
                <w:rFonts w:hint="eastAsia" w:ascii="Times New Roman" w:hAnsi="Times New Roman" w:cs="Times New Roman"/>
                <w:color w:val="auto"/>
                <w:lang w:eastAsia="zh-CN"/>
              </w:rPr>
              <w:t>废气自然通风</w:t>
            </w:r>
            <w:r>
              <w:rPr>
                <w:rFonts w:hint="eastAsia" w:ascii="Times New Roman" w:hAnsi="Times New Roman" w:cs="Times New Roman"/>
                <w:color w:val="auto"/>
              </w:rPr>
              <w:t>排</w:t>
            </w:r>
            <w:r>
              <w:rPr>
                <w:rFonts w:hint="eastAsia" w:ascii="Times New Roman" w:hAnsi="Times New Roman" w:cs="Times New Roman"/>
                <w:color w:val="auto"/>
                <w:lang w:eastAsia="zh-CN"/>
              </w:rPr>
              <w:t>至室外，自然稀释后对环境影响较小。</w:t>
            </w:r>
          </w:p>
          <w:p>
            <w:pPr>
              <w:widowControl w:val="0"/>
              <w:spacing w:line="360" w:lineRule="auto"/>
              <w:ind w:firstLine="480" w:firstLineChars="200"/>
              <w:jc w:val="both"/>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2、废水 </w:t>
            </w:r>
          </w:p>
          <w:p>
            <w:pPr>
              <w:widowControl w:val="0"/>
              <w:spacing w:line="360" w:lineRule="auto"/>
              <w:ind w:firstLine="480" w:firstLineChars="200"/>
              <w:jc w:val="both"/>
              <w:rPr>
                <w:rFonts w:hint="eastAsia" w:ascii="Times New Roman" w:hAnsi="Times New Roman" w:cs="Times New Roman"/>
                <w:color w:val="auto"/>
                <w:kern w:val="0"/>
                <w:sz w:val="24"/>
                <w:szCs w:val="24"/>
                <w:lang w:val="en-US" w:eastAsia="zh-CN" w:bidi="ar"/>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运营期</w:t>
            </w:r>
            <w:r>
              <w:rPr>
                <w:rFonts w:hint="eastAsia" w:cs="Times New Roman"/>
                <w:color w:val="auto"/>
                <w:sz w:val="24"/>
                <w:szCs w:val="24"/>
                <w:lang w:eastAsia="zh-CN"/>
              </w:rPr>
              <w:t>产生的少量的生活污水和医疗废水进</w:t>
            </w:r>
            <w:r>
              <w:rPr>
                <w:rFonts w:hint="default" w:ascii="Times New Roman" w:hAnsi="Times New Roman" w:eastAsia="宋体" w:cs="Times New Roman"/>
                <w:color w:val="auto"/>
                <w:kern w:val="0"/>
                <w:sz w:val="24"/>
                <w:szCs w:val="24"/>
                <w:lang w:val="en-US" w:eastAsia="zh-CN" w:bidi="ar"/>
              </w:rPr>
              <w:t>入医院现有污水处理站处理，处理后通过市政管网入城东污水处理厂</w:t>
            </w:r>
            <w:r>
              <w:rPr>
                <w:rFonts w:hint="eastAsia" w:ascii="Times New Roman" w:hAnsi="Times New Roman" w:cs="Times New Roman"/>
                <w:color w:val="auto"/>
                <w:kern w:val="0"/>
                <w:sz w:val="24"/>
                <w:szCs w:val="24"/>
                <w:lang w:val="en-US" w:eastAsia="zh-CN" w:bidi="ar"/>
              </w:rPr>
              <w:t>，对区域水体环境影响较小。</w:t>
            </w:r>
          </w:p>
          <w:p>
            <w:pPr>
              <w:pStyle w:val="14"/>
              <w:widowControl w:val="0"/>
              <w:jc w:val="both"/>
              <w:rPr>
                <w:color w:val="auto"/>
              </w:rPr>
            </w:pPr>
            <w:r>
              <w:rPr>
                <w:color w:val="auto"/>
              </w:rPr>
              <w:drawing>
                <wp:inline distT="0" distB="0" distL="114300" distR="114300">
                  <wp:extent cx="2658745" cy="1931035"/>
                  <wp:effectExtent l="0" t="0" r="8255" b="1206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8"/>
                          <a:stretch>
                            <a:fillRect/>
                          </a:stretch>
                        </pic:blipFill>
                        <pic:spPr>
                          <a:xfrm>
                            <a:off x="0" y="0"/>
                            <a:ext cx="2658745" cy="193103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1929765" cy="1904365"/>
                  <wp:effectExtent l="0" t="0" r="13335" b="6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9"/>
                          <a:stretch>
                            <a:fillRect/>
                          </a:stretch>
                        </pic:blipFill>
                        <pic:spPr>
                          <a:xfrm>
                            <a:off x="0" y="0"/>
                            <a:ext cx="1929765" cy="1904365"/>
                          </a:xfrm>
                          <a:prstGeom prst="rect">
                            <a:avLst/>
                          </a:prstGeom>
                          <a:noFill/>
                          <a:ln>
                            <a:noFill/>
                          </a:ln>
                        </pic:spPr>
                      </pic:pic>
                    </a:graphicData>
                  </a:graphic>
                </wp:inline>
              </w:drawing>
            </w:r>
          </w:p>
          <w:p>
            <w:pPr>
              <w:widowControl w:val="0"/>
              <w:ind w:firstLine="960" w:firstLineChars="400"/>
              <w:jc w:val="both"/>
              <w:rPr>
                <w:rFonts w:hint="eastAsia"/>
                <w:color w:val="auto"/>
                <w:lang w:val="en-US" w:eastAsia="zh-CN"/>
              </w:rPr>
            </w:pPr>
            <w:r>
              <w:rPr>
                <w:rFonts w:hint="eastAsia"/>
                <w:color w:val="auto"/>
                <w:lang w:eastAsia="zh-CN"/>
              </w:rPr>
              <w:t>污水处理站</w:t>
            </w:r>
            <w:r>
              <w:rPr>
                <w:rFonts w:hint="eastAsia"/>
                <w:color w:val="auto"/>
                <w:lang w:val="en-US" w:eastAsia="zh-CN"/>
              </w:rPr>
              <w:t xml:space="preserve">                          污水处理站在线监测系统</w:t>
            </w:r>
          </w:p>
          <w:p>
            <w:pPr>
              <w:pStyle w:val="14"/>
              <w:widowControl w:val="0"/>
              <w:jc w:val="both"/>
              <w:rPr>
                <w:color w:val="auto"/>
              </w:rPr>
            </w:pPr>
            <w:r>
              <w:rPr>
                <w:color w:val="auto"/>
              </w:rPr>
              <w:drawing>
                <wp:inline distT="0" distB="0" distL="114300" distR="114300">
                  <wp:extent cx="2753360" cy="1927860"/>
                  <wp:effectExtent l="0" t="0" r="8890" b="1524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0"/>
                          <a:stretch>
                            <a:fillRect/>
                          </a:stretch>
                        </pic:blipFill>
                        <pic:spPr>
                          <a:xfrm>
                            <a:off x="0" y="0"/>
                            <a:ext cx="2753360" cy="1927860"/>
                          </a:xfrm>
                          <a:prstGeom prst="rect">
                            <a:avLst/>
                          </a:prstGeom>
                          <a:noFill/>
                          <a:ln>
                            <a:noFill/>
                          </a:ln>
                        </pic:spPr>
                      </pic:pic>
                    </a:graphicData>
                  </a:graphic>
                </wp:inline>
              </w:drawing>
            </w:r>
          </w:p>
          <w:p>
            <w:pPr>
              <w:widowControl w:val="0"/>
              <w:ind w:firstLine="720" w:firstLineChars="300"/>
              <w:jc w:val="both"/>
              <w:rPr>
                <w:rFonts w:hint="eastAsia" w:eastAsia="宋体"/>
                <w:color w:val="auto"/>
                <w:lang w:val="en-US" w:eastAsia="zh-CN"/>
              </w:rPr>
            </w:pPr>
            <w:r>
              <w:rPr>
                <w:rFonts w:hint="eastAsia"/>
                <w:color w:val="auto"/>
                <w:lang w:eastAsia="zh-CN"/>
              </w:rPr>
              <w:t>污水处理站加药系统</w:t>
            </w:r>
          </w:p>
          <w:p>
            <w:pPr>
              <w:widowControl w:val="0"/>
              <w:spacing w:line="360" w:lineRule="auto"/>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3、噪声</w:t>
            </w:r>
          </w:p>
          <w:p>
            <w:pPr>
              <w:widowControl w:val="0"/>
              <w:spacing w:line="360" w:lineRule="auto"/>
              <w:ind w:firstLine="480" w:firstLineChars="200"/>
              <w:jc w:val="both"/>
              <w:rPr>
                <w:rFonts w:hint="eastAsia"/>
                <w:color w:val="auto"/>
                <w:lang w:val="en-US" w:eastAsia="zh-CN"/>
              </w:rPr>
            </w:pPr>
            <w:r>
              <w:rPr>
                <w:rFonts w:hint="eastAsia" w:ascii="Times New Roman" w:hAnsi="Times New Roman" w:cs="Times New Roman"/>
                <w:color w:val="auto"/>
                <w:lang w:eastAsia="zh-CN"/>
              </w:rPr>
              <w:t>本项目</w:t>
            </w:r>
            <w:r>
              <w:rPr>
                <w:rFonts w:hint="default" w:ascii="Times New Roman" w:hAnsi="Times New Roman" w:eastAsia="宋体" w:cs="Times New Roman"/>
                <w:color w:val="auto"/>
                <w:kern w:val="0"/>
                <w:sz w:val="21"/>
                <w:szCs w:val="21"/>
                <w:lang w:val="en-US" w:eastAsia="zh-CN" w:bidi="ar"/>
              </w:rPr>
              <w:t>噪声源主要为空调</w:t>
            </w:r>
            <w:r>
              <w:rPr>
                <w:rFonts w:hint="eastAsia" w:ascii="Times New Roman" w:hAnsi="Times New Roman" w:cs="Times New Roman"/>
                <w:color w:val="auto"/>
                <w:kern w:val="0"/>
                <w:sz w:val="21"/>
                <w:szCs w:val="21"/>
                <w:lang w:val="en-US" w:eastAsia="zh-CN" w:bidi="ar"/>
              </w:rPr>
              <w:t>外机</w:t>
            </w:r>
            <w:r>
              <w:rPr>
                <w:rFonts w:hint="default" w:ascii="Times New Roman" w:hAnsi="Times New Roman" w:eastAsia="宋体" w:cs="Times New Roman"/>
                <w:color w:val="auto"/>
                <w:kern w:val="0"/>
                <w:sz w:val="21"/>
                <w:szCs w:val="21"/>
                <w:lang w:val="en-US" w:eastAsia="zh-CN" w:bidi="ar"/>
              </w:rPr>
              <w:t>运行产生的噪声，</w:t>
            </w:r>
            <w:r>
              <w:rPr>
                <w:rFonts w:hint="eastAsia" w:ascii="Times New Roman" w:hAnsi="Times New Roman" w:cs="Times New Roman"/>
                <w:color w:val="auto"/>
                <w:kern w:val="0"/>
                <w:sz w:val="21"/>
                <w:szCs w:val="21"/>
                <w:lang w:val="en-US" w:eastAsia="zh-CN" w:bidi="ar"/>
              </w:rPr>
              <w:t>选用低噪声设备，</w:t>
            </w:r>
            <w:r>
              <w:rPr>
                <w:rFonts w:hint="eastAsia"/>
                <w:color w:val="auto"/>
                <w:lang w:val="en-US" w:eastAsia="zh-CN"/>
              </w:rPr>
              <w:t>噪声源本身分贝值较低，对环境的影响较小，可忽略不计。</w:t>
            </w:r>
          </w:p>
          <w:p>
            <w:pPr>
              <w:widowControl w:val="0"/>
              <w:spacing w:line="360" w:lineRule="auto"/>
              <w:ind w:firstLine="480" w:firstLineChars="200"/>
              <w:jc w:val="both"/>
              <w:rPr>
                <w:rFonts w:hint="default"/>
                <w:color w:val="auto"/>
                <w:lang w:val="en-US" w:eastAsia="zh-CN"/>
              </w:rPr>
            </w:pPr>
            <w:r>
              <w:rPr>
                <w:rFonts w:hint="eastAsia"/>
                <w:color w:val="auto"/>
                <w:lang w:val="en-US" w:eastAsia="zh-CN"/>
              </w:rPr>
              <w:t>4、固体废物影响</w:t>
            </w:r>
          </w:p>
          <w:p>
            <w:pPr>
              <w:widowControl w:val="0"/>
              <w:spacing w:line="360" w:lineRule="auto"/>
              <w:ind w:firstLine="480" w:firstLineChars="200"/>
              <w:jc w:val="both"/>
              <w:rPr>
                <w:rFonts w:hint="eastAsia" w:ascii="Times New Roman" w:hAnsi="Times New Roman" w:cs="Times New Roman"/>
                <w:color w:val="auto"/>
                <w:lang w:eastAsia="zh-CN"/>
              </w:rPr>
            </w:pPr>
            <w:r>
              <w:rPr>
                <w:rFonts w:hint="default"/>
                <w:color w:val="auto"/>
                <w:lang w:val="en-US" w:eastAsia="zh-CN"/>
              </w:rPr>
              <w:t>本项目运营</w:t>
            </w:r>
            <w:r>
              <w:rPr>
                <w:rFonts w:hint="default" w:ascii="Times New Roman" w:hAnsi="Times New Roman" w:eastAsia="宋体" w:cs="Times New Roman"/>
                <w:color w:val="auto"/>
                <w:lang w:eastAsia="zh-CN"/>
              </w:rPr>
              <w:t>时</w:t>
            </w:r>
            <w:r>
              <w:rPr>
                <w:rFonts w:hint="eastAsia" w:ascii="Times New Roman" w:hAnsi="Times New Roman" w:cs="Times New Roman"/>
                <w:color w:val="auto"/>
                <w:lang w:eastAsia="zh-CN"/>
              </w:rPr>
              <w:t>产生的医疗废物，依托</w:t>
            </w:r>
            <w:r>
              <w:rPr>
                <w:rFonts w:hint="default" w:ascii="Times New Roman" w:hAnsi="Times New Roman" w:eastAsia="宋体" w:cs="Times New Roman"/>
                <w:color w:val="auto"/>
              </w:rPr>
              <w:t>医院</w:t>
            </w:r>
            <w:r>
              <w:rPr>
                <w:rFonts w:hint="eastAsia" w:ascii="Times New Roman" w:hAnsi="Times New Roman" w:cs="Times New Roman"/>
                <w:color w:val="auto"/>
                <w:lang w:eastAsia="zh-CN"/>
              </w:rPr>
              <w:t>现有的</w:t>
            </w:r>
            <w:r>
              <w:rPr>
                <w:rFonts w:hint="default" w:ascii="Times New Roman" w:hAnsi="Times New Roman" w:eastAsia="宋体" w:cs="Times New Roman"/>
                <w:color w:val="auto"/>
                <w:lang w:eastAsia="zh-CN"/>
              </w:rPr>
              <w:t>医废间</w:t>
            </w:r>
            <w:r>
              <w:rPr>
                <w:rFonts w:hint="eastAsia" w:ascii="Times New Roman" w:hAnsi="Times New Roman" w:cs="Times New Roman"/>
                <w:color w:val="auto"/>
                <w:lang w:eastAsia="zh-CN"/>
              </w:rPr>
              <w:t>暂存</w:t>
            </w:r>
            <w:r>
              <w:rPr>
                <w:rFonts w:hint="eastAsia" w:cs="Times New Roman"/>
                <w:color w:val="auto"/>
                <w:lang w:eastAsia="zh-CN"/>
              </w:rPr>
              <w:t>（医废间见表</w:t>
            </w:r>
            <w:r>
              <w:rPr>
                <w:rFonts w:hint="eastAsia" w:cs="Times New Roman"/>
                <w:color w:val="auto"/>
                <w:lang w:val="en-US" w:eastAsia="zh-CN"/>
              </w:rPr>
              <w:t>3-1</w:t>
            </w:r>
            <w:r>
              <w:rPr>
                <w:rFonts w:hint="eastAsia" w:cs="Times New Roman"/>
                <w:color w:val="auto"/>
                <w:lang w:eastAsia="zh-CN"/>
              </w:rPr>
              <w:t>）</w:t>
            </w:r>
            <w:r>
              <w:rPr>
                <w:rFonts w:hint="default" w:ascii="Times New Roman" w:hAnsi="Times New Roman" w:eastAsia="宋体" w:cs="Times New Roman"/>
                <w:color w:val="auto"/>
              </w:rPr>
              <w:t>，统一</w:t>
            </w:r>
            <w:r>
              <w:rPr>
                <w:rFonts w:hint="eastAsia" w:ascii="Times New Roman" w:hAnsi="Times New Roman" w:cs="Times New Roman"/>
                <w:color w:val="auto"/>
                <w:lang w:eastAsia="zh-CN"/>
              </w:rPr>
              <w:t>委托</w:t>
            </w:r>
            <w:r>
              <w:rPr>
                <w:rFonts w:hint="default" w:ascii="Times New Roman" w:hAnsi="Times New Roman" w:eastAsia="宋体" w:cs="Times New Roman"/>
                <w:color w:val="auto"/>
                <w:lang w:val="en-US" w:eastAsia="zh-CN"/>
              </w:rPr>
              <w:t>安庆发投环保科技有限责任公司进行处置</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处置协议</w:t>
            </w:r>
            <w:r>
              <w:rPr>
                <w:rFonts w:hint="default" w:ascii="Times New Roman" w:hAnsi="Times New Roman" w:eastAsia="宋体" w:cs="Times New Roman"/>
                <w:color w:val="auto"/>
              </w:rPr>
              <w:t>见附件</w:t>
            </w:r>
            <w:r>
              <w:rPr>
                <w:rFonts w:hint="eastAsia" w:cs="Times New Roman"/>
                <w:color w:val="auto"/>
                <w:lang w:val="en-US" w:eastAsia="zh-CN"/>
              </w:rPr>
              <w:t>21</w:t>
            </w:r>
            <w:r>
              <w:rPr>
                <w:rFonts w:hint="default" w:ascii="Times New Roman" w:hAnsi="Times New Roman" w:eastAsia="宋体" w:cs="Times New Roman"/>
                <w:color w:val="auto"/>
              </w:rPr>
              <w:t>）</w:t>
            </w:r>
            <w:r>
              <w:rPr>
                <w:rFonts w:hint="eastAsia" w:ascii="Times New Roman" w:hAnsi="Times New Roman" w:cs="Times New Roman"/>
                <w:color w:val="auto"/>
                <w:lang w:eastAsia="zh-CN"/>
              </w:rPr>
              <w:t>，医务</w:t>
            </w:r>
            <w:r>
              <w:rPr>
                <w:rFonts w:hint="default" w:ascii="Times New Roman" w:hAnsi="Times New Roman" w:eastAsia="宋体" w:cs="Times New Roman"/>
                <w:color w:val="auto"/>
              </w:rPr>
              <w:t>人员产生的办公垃圾由医院进行统一集中收集并交由环卫部门统一处理</w:t>
            </w:r>
            <w:r>
              <w:rPr>
                <w:rFonts w:hint="eastAsia" w:ascii="Times New Roman" w:hAnsi="Times New Roman" w:cs="Times New Roman"/>
                <w:color w:val="auto"/>
                <w:lang w:eastAsia="zh-CN"/>
              </w:rPr>
              <w:t>，本项目产生的固体废物均得到妥善处理，对周围环境影响较小。</w:t>
            </w:r>
          </w:p>
          <w:p>
            <w:pPr>
              <w:widowControl w:val="0"/>
              <w:spacing w:line="360" w:lineRule="auto"/>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根据安徽省生态环境厅网站公开的资料，安庆发投环保科技有限责任公司有处置医疗废物的资质和能力。</w:t>
            </w:r>
          </w:p>
          <w:p>
            <w:pPr>
              <w:widowControl w:val="0"/>
              <w:spacing w:line="360" w:lineRule="auto"/>
              <w:ind w:firstLine="480" w:firstLineChars="200"/>
              <w:jc w:val="both"/>
              <w:rPr>
                <w:rFonts w:hint="default" w:ascii="Times New Roman" w:hAnsi="Times New Roman" w:eastAsia="宋体" w:cs="Times New Roman"/>
                <w:color w:val="auto"/>
                <w:lang w:val="en-US" w:eastAsia="zh-CN"/>
              </w:rPr>
            </w:pPr>
          </w:p>
          <w:p>
            <w:pPr>
              <w:pStyle w:val="14"/>
              <w:widowControl w:val="0"/>
              <w:jc w:val="both"/>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drawing>
                <wp:inline distT="0" distB="0" distL="114300" distR="114300">
                  <wp:extent cx="2692400" cy="2456815"/>
                  <wp:effectExtent l="0" t="0" r="12700" b="635"/>
                  <wp:docPr id="17" name="图片 17" descr="医废间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医废间2-1"/>
                          <pic:cNvPicPr>
                            <a:picLocks noChangeAspect="1"/>
                          </pic:cNvPicPr>
                        </pic:nvPicPr>
                        <pic:blipFill>
                          <a:blip r:embed="rId21"/>
                          <a:stretch>
                            <a:fillRect/>
                          </a:stretch>
                        </pic:blipFill>
                        <pic:spPr>
                          <a:xfrm>
                            <a:off x="0" y="0"/>
                            <a:ext cx="2692400" cy="2456815"/>
                          </a:xfrm>
                          <a:prstGeom prst="rect">
                            <a:avLst/>
                          </a:prstGeom>
                        </pic:spPr>
                      </pic:pic>
                    </a:graphicData>
                  </a:graphic>
                </wp:inline>
              </w:drawing>
            </w:r>
            <w:r>
              <w:rPr>
                <w:rFonts w:hint="eastAsia" w:cs="Times New Roman"/>
                <w:color w:val="auto"/>
                <w:vertAlign w:val="baseline"/>
                <w:lang w:val="en-US" w:eastAsia="zh-CN"/>
              </w:rPr>
              <w:t xml:space="preserve">   </w:t>
            </w:r>
            <w:r>
              <w:rPr>
                <w:rFonts w:hint="eastAsia" w:ascii="Times New Roman" w:hAnsi="Times New Roman" w:eastAsia="宋体" w:cs="Times New Roman"/>
                <w:color w:val="auto"/>
                <w:vertAlign w:val="baseline"/>
                <w:lang w:eastAsia="zh-CN"/>
              </w:rPr>
              <w:drawing>
                <wp:inline distT="0" distB="0" distL="114300" distR="114300">
                  <wp:extent cx="2681605" cy="2464435"/>
                  <wp:effectExtent l="0" t="0" r="4445" b="12065"/>
                  <wp:docPr id="20" name="图片 20" descr="医废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医废间2-2"/>
                          <pic:cNvPicPr>
                            <a:picLocks noChangeAspect="1"/>
                          </pic:cNvPicPr>
                        </pic:nvPicPr>
                        <pic:blipFill>
                          <a:blip r:embed="rId22"/>
                          <a:stretch>
                            <a:fillRect/>
                          </a:stretch>
                        </pic:blipFill>
                        <pic:spPr>
                          <a:xfrm>
                            <a:off x="0" y="0"/>
                            <a:ext cx="2681605" cy="2464435"/>
                          </a:xfrm>
                          <a:prstGeom prst="rect">
                            <a:avLst/>
                          </a:prstGeom>
                        </pic:spPr>
                      </pic:pic>
                    </a:graphicData>
                  </a:graphic>
                </wp:inline>
              </w:drawing>
            </w:r>
          </w:p>
          <w:p>
            <w:pPr>
              <w:widowControl w:val="0"/>
              <w:ind w:firstLine="840" w:firstLineChars="400"/>
              <w:jc w:val="both"/>
              <w:rPr>
                <w:rFonts w:hint="default"/>
                <w:color w:val="auto"/>
                <w:sz w:val="21"/>
                <w:szCs w:val="21"/>
                <w:lang w:val="en-US" w:eastAsia="zh-CN"/>
              </w:rPr>
            </w:pPr>
            <w:r>
              <w:rPr>
                <w:rFonts w:hint="eastAsia" w:ascii="Times New Roman" w:hAnsi="Times New Roman" w:cs="Times New Roman"/>
                <w:color w:val="auto"/>
                <w:sz w:val="21"/>
                <w:szCs w:val="21"/>
                <w:vertAlign w:val="baseline"/>
                <w:lang w:eastAsia="zh-CN"/>
              </w:rPr>
              <w:t>医院医疗废物暂存间外部</w:t>
            </w:r>
            <w:r>
              <w:rPr>
                <w:rFonts w:hint="eastAsia" w:ascii="Times New Roman" w:hAnsi="Times New Roman" w:cs="Times New Roman"/>
                <w:color w:val="auto"/>
                <w:sz w:val="21"/>
                <w:szCs w:val="21"/>
                <w:vertAlign w:val="baseline"/>
                <w:lang w:val="en-US" w:eastAsia="zh-CN"/>
              </w:rPr>
              <w:t xml:space="preserve"> </w:t>
            </w:r>
            <w:r>
              <w:rPr>
                <w:rFonts w:hint="eastAsia" w:ascii="Times New Roman" w:hAnsi="Times New Roman" w:cs="Times New Roman"/>
                <w:color w:val="auto"/>
                <w:vertAlign w:val="baseline"/>
                <w:lang w:val="en-US" w:eastAsia="zh-CN"/>
              </w:rPr>
              <w:t xml:space="preserve">                     </w:t>
            </w:r>
            <w:r>
              <w:rPr>
                <w:rFonts w:hint="eastAsia" w:ascii="Times New Roman" w:hAnsi="Times New Roman" w:cs="Times New Roman"/>
                <w:color w:val="auto"/>
                <w:sz w:val="21"/>
                <w:szCs w:val="21"/>
                <w:vertAlign w:val="baseline"/>
                <w:lang w:val="en-US" w:eastAsia="zh-CN"/>
              </w:rPr>
              <w:t>医院医疗废物暂存间内部</w:t>
            </w:r>
          </w:p>
          <w:p>
            <w:pPr>
              <w:pStyle w:val="14"/>
              <w:widowControl w:val="0"/>
              <w:jc w:val="both"/>
              <w:rPr>
                <w:rFonts w:hint="default" w:ascii="Times New Roman" w:hAnsi="Times New Roman" w:eastAsia="宋体" w:cs="Times New Roman"/>
                <w:color w:val="auto"/>
                <w:kern w:val="0"/>
                <w:sz w:val="24"/>
                <w:szCs w:val="24"/>
                <w:lang w:val="en-US" w:eastAsia="zh-CN" w:bidi="ar-SA"/>
              </w:rPr>
            </w:pPr>
            <w:r>
              <w:rPr>
                <w:rFonts w:hint="eastAsia" w:cs="Times New Roman"/>
                <w:color w:val="auto"/>
                <w:lang w:val="en-US" w:eastAsia="zh-CN"/>
              </w:rPr>
              <w:t xml:space="preserve">  </w:t>
            </w:r>
            <w:r>
              <w:rPr>
                <w:rFonts w:hint="eastAsia" w:ascii="Times New Roman" w:hAnsi="Times New Roman" w:eastAsia="宋体" w:cs="Times New Roman"/>
                <w:color w:val="auto"/>
                <w:kern w:val="0"/>
                <w:sz w:val="24"/>
                <w:szCs w:val="24"/>
                <w:lang w:val="en-US" w:eastAsia="zh-CN" w:bidi="ar-SA"/>
              </w:rPr>
              <w:t xml:space="preserve">  5、辐射环境影响</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color w:val="auto"/>
                <w:lang w:val="en-US" w:eastAsia="zh-CN"/>
              </w:rPr>
              <w:t>南京鼓楼医院集团安庆市石化医院已根据环评及批复要求落实了DSA项目的辐射污染防治措施，辐射污染防治措施见表3-2，辐射防护措施与</w:t>
            </w:r>
            <w:r>
              <w:rPr>
                <w:rFonts w:hint="eastAsia" w:asciiTheme="minorEastAsia" w:hAnsiTheme="minorEastAsia" w:eastAsiaTheme="minorEastAsia" w:cstheme="minorEastAsia"/>
                <w:color w:val="auto"/>
                <w:kern w:val="0"/>
                <w:sz w:val="24"/>
                <w:szCs w:val="24"/>
              </w:rPr>
              <w:t>《</w:t>
            </w:r>
            <w:r>
              <w:rPr>
                <w:rFonts w:hint="eastAsia" w:asciiTheme="minorEastAsia" w:hAnsiTheme="minorEastAsia" w:eastAsiaTheme="minorEastAsia" w:cstheme="minorEastAsia"/>
                <w:color w:val="auto"/>
                <w:kern w:val="0"/>
                <w:sz w:val="24"/>
                <w:szCs w:val="24"/>
                <w:lang w:val="en-US" w:eastAsia="zh-CN"/>
              </w:rPr>
              <w:t>放射</w:t>
            </w:r>
            <w:r>
              <w:rPr>
                <w:rFonts w:hint="eastAsia" w:asciiTheme="minorEastAsia" w:hAnsiTheme="minorEastAsia" w:eastAsiaTheme="minorEastAsia" w:cstheme="minorEastAsia"/>
                <w:color w:val="auto"/>
                <w:kern w:val="0"/>
                <w:sz w:val="24"/>
                <w:szCs w:val="24"/>
              </w:rPr>
              <w:t>诊断放射防护要求》（GBZ130-20</w:t>
            </w:r>
            <w:r>
              <w:rPr>
                <w:rFonts w:hint="eastAsia" w:asciiTheme="minorEastAsia" w:hAnsiTheme="minorEastAsia" w:eastAsiaTheme="minorEastAsia" w:cstheme="minorEastAsia"/>
                <w:color w:val="auto"/>
                <w:kern w:val="0"/>
                <w:sz w:val="24"/>
                <w:szCs w:val="24"/>
                <w:lang w:val="en-US" w:eastAsia="zh-CN"/>
              </w:rPr>
              <w:t>20</w:t>
            </w:r>
            <w:r>
              <w:rPr>
                <w:rFonts w:hint="eastAsia" w:asciiTheme="minorEastAsia" w:hAnsiTheme="minorEastAsia" w:eastAsiaTheme="minorEastAsia" w:cstheme="minorEastAsia"/>
                <w:color w:val="auto"/>
                <w:kern w:val="0"/>
                <w:sz w:val="24"/>
                <w:szCs w:val="24"/>
              </w:rPr>
              <w:t>）</w:t>
            </w:r>
            <w:r>
              <w:rPr>
                <w:rFonts w:hint="eastAsia" w:asciiTheme="minorEastAsia" w:hAnsiTheme="minorEastAsia" w:eastAsiaTheme="minorEastAsia" w:cstheme="minorEastAsia"/>
                <w:color w:val="auto"/>
                <w:kern w:val="0"/>
                <w:sz w:val="24"/>
                <w:szCs w:val="24"/>
                <w:lang w:eastAsia="zh-CN"/>
              </w:rPr>
              <w:t>符合性分析见表</w:t>
            </w:r>
            <w:r>
              <w:rPr>
                <w:rFonts w:hint="eastAsia" w:asciiTheme="minorEastAsia" w:hAnsiTheme="minorEastAsia" w:eastAsiaTheme="minorEastAsia" w:cstheme="minorEastAsia"/>
                <w:color w:val="auto"/>
                <w:kern w:val="0"/>
                <w:sz w:val="24"/>
                <w:szCs w:val="24"/>
                <w:lang w:val="en-US" w:eastAsia="zh-CN"/>
              </w:rPr>
              <w:t>3-3，</w:t>
            </w:r>
            <w:r>
              <w:rPr>
                <w:rFonts w:hint="eastAsia" w:asciiTheme="minorEastAsia" w:hAnsiTheme="minorEastAsia" w:eastAsiaTheme="minorEastAsia" w:cstheme="minorEastAsia"/>
                <w:color w:val="auto"/>
                <w:lang w:val="en-US" w:eastAsia="zh-CN"/>
              </w:rPr>
              <w:t>DSA项目辐射污染防治措施现场调查情况见表3-4。</w:t>
            </w:r>
          </w:p>
          <w:p>
            <w:pPr>
              <w:widowControl w:val="0"/>
              <w:numPr>
                <w:ilvl w:val="0"/>
                <w:numId w:val="0"/>
              </w:numPr>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 xml:space="preserve">  </w:t>
            </w:r>
            <w:r>
              <w:rPr>
                <w:rFonts w:hint="eastAsia" w:ascii="Times New Roman" w:cs="Times New Roman"/>
                <w:b/>
                <w:bCs/>
                <w:color w:val="auto"/>
                <w:sz w:val="21"/>
                <w:szCs w:val="21"/>
                <w:lang w:val="en-US" w:eastAsia="zh-CN"/>
              </w:rPr>
              <w:t>环评、验收DSA辐射污染防治措施对照表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113"/>
              <w:gridCol w:w="3942"/>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gridSpan w:val="2"/>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w:t>
                  </w:r>
                </w:p>
              </w:tc>
              <w:tc>
                <w:tcPr>
                  <w:tcW w:w="3942" w:type="dxa"/>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采取措施</w:t>
                  </w:r>
                </w:p>
              </w:tc>
              <w:tc>
                <w:tcPr>
                  <w:tcW w:w="3178" w:type="dxa"/>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与环评及批复内容是否一致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gridSpan w:val="2"/>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防护措施</w:t>
                  </w:r>
                </w:p>
              </w:tc>
              <w:tc>
                <w:tcPr>
                  <w:tcW w:w="3942" w:type="dxa"/>
                  <w:vAlign w:val="center"/>
                </w:tcPr>
                <w:p>
                  <w:pPr>
                    <w:widowControl w:val="0"/>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四侧墙</w:t>
                  </w:r>
                  <w:r>
                    <w:rPr>
                      <w:rFonts w:hint="eastAsia" w:ascii="宋体" w:hAnsi="宋体" w:eastAsia="宋体" w:cs="宋体"/>
                      <w:color w:val="auto"/>
                      <w:sz w:val="21"/>
                      <w:szCs w:val="21"/>
                      <w:lang w:eastAsia="zh-CN"/>
                    </w:rPr>
                    <w:t>体为</w:t>
                  </w:r>
                  <w:r>
                    <w:rPr>
                      <w:rFonts w:hint="eastAsia" w:ascii="宋体" w:hAnsi="宋体" w:eastAsia="宋体" w:cs="宋体"/>
                      <w:color w:val="auto"/>
                      <w:sz w:val="21"/>
                      <w:szCs w:val="21"/>
                      <w:lang w:val="en-US" w:eastAsia="zh-CN"/>
                    </w:rPr>
                    <w:t>240mm实心红砖墙，涂2mm</w:t>
                  </w:r>
                  <w:r>
                    <w:rPr>
                      <w:rFonts w:hint="eastAsia" w:ascii="宋体" w:hAnsi="宋体" w:eastAsia="宋体" w:cs="宋体"/>
                      <w:color w:val="auto"/>
                      <w:sz w:val="21"/>
                      <w:szCs w:val="21"/>
                    </w:rPr>
                    <w:t>Pb</w:t>
                  </w:r>
                  <w:r>
                    <w:rPr>
                      <w:rFonts w:hint="eastAsia" w:ascii="宋体" w:hAnsi="宋体" w:eastAsia="宋体" w:cs="宋体"/>
                      <w:color w:val="auto"/>
                      <w:sz w:val="21"/>
                      <w:szCs w:val="21"/>
                      <w:lang w:val="en-US" w:eastAsia="zh-CN"/>
                    </w:rPr>
                    <w:t>硫酸钡水泥；</w:t>
                  </w:r>
                  <w:r>
                    <w:rPr>
                      <w:rFonts w:hint="eastAsia" w:ascii="宋体" w:hAnsi="宋体" w:eastAsia="宋体" w:cs="宋体"/>
                      <w:color w:val="auto"/>
                      <w:sz w:val="21"/>
                      <w:szCs w:val="21"/>
                    </w:rPr>
                    <w:t>顶</w:t>
                  </w:r>
                  <w:r>
                    <w:rPr>
                      <w:rFonts w:hint="eastAsia" w:ascii="宋体" w:hAnsi="宋体" w:eastAsia="宋体" w:cs="宋体"/>
                      <w:color w:val="auto"/>
                      <w:sz w:val="21"/>
                      <w:szCs w:val="21"/>
                      <w:lang w:eastAsia="zh-CN"/>
                    </w:rPr>
                    <w:t>面</w:t>
                  </w:r>
                  <w:r>
                    <w:rPr>
                      <w:rFonts w:hint="eastAsia" w:ascii="宋体" w:hAnsi="宋体" w:eastAsia="宋体" w:cs="宋体"/>
                      <w:color w:val="auto"/>
                      <w:sz w:val="21"/>
                      <w:szCs w:val="21"/>
                      <w:lang w:val="en-US" w:eastAsia="zh-CN"/>
                    </w:rPr>
                    <w:t>采用200mm钢筋混凝土，在对应的二楼地板面涂2mm</w:t>
                  </w:r>
                  <w:r>
                    <w:rPr>
                      <w:rFonts w:hint="eastAsia" w:ascii="宋体" w:hAnsi="宋体" w:eastAsia="宋体" w:cs="宋体"/>
                      <w:color w:val="auto"/>
                      <w:sz w:val="21"/>
                      <w:szCs w:val="21"/>
                    </w:rPr>
                    <w:t>Pb</w:t>
                  </w:r>
                  <w:r>
                    <w:rPr>
                      <w:rFonts w:hint="eastAsia" w:ascii="宋体" w:hAnsi="宋体" w:eastAsia="宋体" w:cs="宋体"/>
                      <w:color w:val="auto"/>
                      <w:sz w:val="21"/>
                      <w:szCs w:val="21"/>
                      <w:lang w:val="en-US" w:eastAsia="zh-CN"/>
                    </w:rPr>
                    <w:t>硫酸钡水泥；地板面贴瓷砖；机房防护门共3扇（病人通道防护门、医生通道防护门、污物通道防护门）均采用4mm铅板，外覆锈钢板（2.5mm）；观察窗采用铅玻璃，铅当量为4mm</w:t>
                  </w:r>
                  <w:r>
                    <w:rPr>
                      <w:rFonts w:hint="eastAsia" w:ascii="宋体" w:hAnsi="宋体" w:eastAsia="宋体" w:cs="宋体"/>
                      <w:color w:val="auto"/>
                      <w:sz w:val="21"/>
                      <w:szCs w:val="21"/>
                    </w:rPr>
                    <w:t>Pb。</w:t>
                  </w:r>
                  <w:r>
                    <w:rPr>
                      <w:rFonts w:hint="eastAsia" w:ascii="宋体" w:hAnsi="宋体" w:eastAsia="宋体" w:cs="宋体"/>
                      <w:color w:val="auto"/>
                      <w:sz w:val="21"/>
                      <w:szCs w:val="21"/>
                      <w:lang w:eastAsia="zh-CN"/>
                    </w:rPr>
                    <w:t>配备</w:t>
                  </w:r>
                  <w:r>
                    <w:rPr>
                      <w:rFonts w:hint="eastAsia" w:ascii="宋体" w:hAnsi="宋体" w:eastAsia="宋体" w:cs="宋体"/>
                      <w:color w:val="auto"/>
                      <w:sz w:val="21"/>
                      <w:szCs w:val="21"/>
                      <w:lang w:val="en-US" w:eastAsia="zh-CN"/>
                    </w:rPr>
                    <w:t>辐射巡检仪1台。</w:t>
                  </w:r>
                </w:p>
              </w:tc>
              <w:tc>
                <w:tcPr>
                  <w:tcW w:w="3178" w:type="dxa"/>
                  <w:vAlign w:val="center"/>
                </w:tcPr>
                <w:p>
                  <w:pPr>
                    <w:widowControl w:val="0"/>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已按照环评及批复要求采取相应的防护措施并新增辐射巡检仪</w:t>
                  </w:r>
                  <w:r>
                    <w:rPr>
                      <w:rFonts w:hint="eastAsia" w:ascii="宋体" w:hAnsi="宋体" w:eastAsia="宋体" w:cs="宋体"/>
                      <w:color w:val="auto"/>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gridSpan w:val="2"/>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安全措施</w:t>
                  </w:r>
                </w:p>
              </w:tc>
              <w:tc>
                <w:tcPr>
                  <w:tcW w:w="3942" w:type="dxa"/>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在防护门上设置了规范的电离辐射警告标志、在机房门口设置了警示灯、在防护门处安装了门灯联动。</w:t>
                  </w:r>
                </w:p>
              </w:tc>
              <w:tc>
                <w:tcPr>
                  <w:tcW w:w="3178" w:type="dxa"/>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已按照环评及批复要求，在防护门上已设置了规范的电离辐射警告标志、在机房门口设置了警示灯、在防护门处安装了门灯联动。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gridSpan w:val="2"/>
                  <w:vMerge w:val="restart"/>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个人防护</w:t>
                  </w:r>
                </w:p>
              </w:tc>
              <w:tc>
                <w:tcPr>
                  <w:tcW w:w="3942" w:type="dxa"/>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本项目辐射工作人员参加辐射安全与防护培训并取得合格证书。</w:t>
                  </w:r>
                </w:p>
              </w:tc>
              <w:tc>
                <w:tcPr>
                  <w:tcW w:w="3178" w:type="dxa"/>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已按照环评及批复要求，本项目辐射工作人员已参加辐射安全与防护培训并取得合格证书。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gridSpan w:val="2"/>
                  <w:vMerge w:val="continue"/>
                  <w:vAlign w:val="center"/>
                </w:tcPr>
                <w:p>
                  <w:pPr>
                    <w:widowControl w:val="0"/>
                    <w:spacing w:line="240" w:lineRule="auto"/>
                    <w:jc w:val="center"/>
                    <w:rPr>
                      <w:rFonts w:hint="eastAsia" w:ascii="宋体" w:hAnsi="宋体" w:eastAsia="宋体" w:cs="宋体"/>
                      <w:color w:val="auto"/>
                      <w:sz w:val="21"/>
                      <w:szCs w:val="21"/>
                      <w:lang w:val="en-US" w:eastAsia="zh-CN"/>
                    </w:rPr>
                  </w:pPr>
                </w:p>
              </w:tc>
              <w:tc>
                <w:tcPr>
                  <w:tcW w:w="3942" w:type="dxa"/>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辐射工作人员佩戴个人剂量计，开展个人剂量监测。</w:t>
                  </w:r>
                </w:p>
              </w:tc>
              <w:tc>
                <w:tcPr>
                  <w:tcW w:w="3178" w:type="dxa"/>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已按照环评及批复要求，辐射工作人员已佩戴个人剂量计，开展个人剂量监测。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dxa"/>
                  <w:gridSpan w:val="2"/>
                  <w:vMerge w:val="continue"/>
                  <w:vAlign w:val="center"/>
                </w:tcPr>
                <w:p>
                  <w:pPr>
                    <w:widowControl w:val="0"/>
                    <w:spacing w:line="240" w:lineRule="auto"/>
                    <w:jc w:val="center"/>
                    <w:rPr>
                      <w:rFonts w:hint="eastAsia" w:ascii="宋体" w:hAnsi="宋体" w:eastAsia="宋体" w:cs="宋体"/>
                      <w:color w:val="auto"/>
                      <w:sz w:val="21"/>
                      <w:szCs w:val="21"/>
                      <w:lang w:val="en-US" w:eastAsia="zh-CN"/>
                    </w:rPr>
                  </w:pPr>
                </w:p>
              </w:tc>
              <w:tc>
                <w:tcPr>
                  <w:tcW w:w="3942" w:type="dxa"/>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配置铅方巾、铅橡胶帽、铅橡胶围脖、铅防护眼镜、铅手套等。</w:t>
                  </w:r>
                </w:p>
              </w:tc>
              <w:tc>
                <w:tcPr>
                  <w:tcW w:w="3178" w:type="dxa"/>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已按照环评及批复要求，医院已配置铅方巾、铅橡胶帽、铅橡胶围脖、铅防护眼镜、铅手套等。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管理措施</w:t>
                  </w:r>
                </w:p>
              </w:tc>
              <w:tc>
                <w:tcPr>
                  <w:tcW w:w="1113" w:type="dxa"/>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管理机构</w:t>
                  </w:r>
                </w:p>
              </w:tc>
              <w:tc>
                <w:tcPr>
                  <w:tcW w:w="3942" w:type="dxa"/>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医院成立辐射防护工作领导小组</w:t>
                  </w:r>
                </w:p>
              </w:tc>
              <w:tc>
                <w:tcPr>
                  <w:tcW w:w="3178" w:type="dxa"/>
                  <w:vAlign w:val="center"/>
                </w:tcPr>
                <w:p>
                  <w:pPr>
                    <w:widowControl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已按照环评及批复要求，</w:t>
                  </w:r>
                  <w:r>
                    <w:rPr>
                      <w:rFonts w:hint="eastAsia" w:ascii="宋体" w:hAnsi="宋体" w:eastAsia="宋体" w:cs="宋体"/>
                      <w:color w:val="auto"/>
                      <w:sz w:val="21"/>
                      <w:szCs w:val="21"/>
                    </w:rPr>
                    <w:t>医院</w:t>
                  </w: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成立辐射防护工作领导小组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val="0"/>
                    <w:spacing w:line="240" w:lineRule="auto"/>
                    <w:jc w:val="center"/>
                    <w:rPr>
                      <w:rFonts w:hint="eastAsia" w:ascii="宋体" w:hAnsi="宋体" w:eastAsia="宋体" w:cs="宋体"/>
                      <w:color w:val="auto"/>
                      <w:sz w:val="21"/>
                      <w:szCs w:val="21"/>
                      <w:lang w:val="en-US" w:eastAsia="zh-CN"/>
                    </w:rPr>
                  </w:pPr>
                </w:p>
              </w:tc>
              <w:tc>
                <w:tcPr>
                  <w:tcW w:w="1113" w:type="dxa"/>
                  <w:vAlign w:val="center"/>
                </w:tcPr>
                <w:p>
                  <w:pPr>
                    <w:widowControl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管理制度</w:t>
                  </w:r>
                </w:p>
              </w:tc>
              <w:tc>
                <w:tcPr>
                  <w:tcW w:w="3942" w:type="dxa"/>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制定监测方案和辐射事故应急预案、辐射安全防护和管理制度、辐射环境监测方案、岗位职责、辐射安全管理制度、设备检修维护制度、人员培训计划等相关管理制度。</w:t>
                  </w:r>
                </w:p>
              </w:tc>
              <w:tc>
                <w:tcPr>
                  <w:tcW w:w="3178" w:type="dxa"/>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已按照环评及批复要求，医院已制定监测方案和辐射事故应急预案、辐射安全防护和管理制度、辐射环境监测方案、岗位职责、辐射安全管理制度、设备检修维护制度、人员培训计划等相关管理制度。</w:t>
                  </w:r>
                </w:p>
              </w:tc>
            </w:tr>
          </w:tbl>
          <w:p>
            <w:pPr>
              <w:widowControl w:val="0"/>
              <w:spacing w:before="156" w:beforeLines="50" w:after="156" w:afterLines="50"/>
              <w:jc w:val="center"/>
              <w:rPr>
                <w:b/>
                <w:color w:val="auto"/>
                <w:szCs w:val="21"/>
              </w:rPr>
            </w:pPr>
            <w:r>
              <w:rPr>
                <w:b/>
                <w:color w:val="auto"/>
                <w:szCs w:val="21"/>
              </w:rPr>
              <w:t>表</w:t>
            </w:r>
            <w:r>
              <w:rPr>
                <w:rFonts w:hint="eastAsia"/>
                <w:b/>
                <w:color w:val="auto"/>
                <w:szCs w:val="21"/>
                <w:lang w:val="en-US" w:eastAsia="zh-CN"/>
              </w:rPr>
              <w:t>3</w:t>
            </w:r>
            <w:r>
              <w:rPr>
                <w:rFonts w:hint="eastAsia"/>
                <w:b/>
                <w:color w:val="auto"/>
                <w:szCs w:val="21"/>
              </w:rPr>
              <w:t>-</w:t>
            </w:r>
            <w:r>
              <w:rPr>
                <w:rFonts w:hint="eastAsia"/>
                <w:b/>
                <w:color w:val="auto"/>
                <w:szCs w:val="21"/>
                <w:lang w:val="en-US" w:eastAsia="zh-CN"/>
              </w:rPr>
              <w:t>3</w:t>
            </w:r>
            <w:r>
              <w:rPr>
                <w:rFonts w:hint="eastAsia"/>
                <w:b/>
                <w:color w:val="auto"/>
                <w:szCs w:val="21"/>
              </w:rPr>
              <w:t xml:space="preserve"> </w:t>
            </w:r>
            <w:r>
              <w:rPr>
                <w:b/>
                <w:color w:val="auto"/>
                <w:szCs w:val="21"/>
              </w:rPr>
              <w:t xml:space="preserve"> </w:t>
            </w:r>
            <w:r>
              <w:rPr>
                <w:rFonts w:hint="eastAsia"/>
                <w:b/>
                <w:color w:val="auto"/>
                <w:szCs w:val="21"/>
                <w:lang w:val="en-US" w:eastAsia="zh-CN"/>
              </w:rPr>
              <w:t>辐射防护</w:t>
            </w:r>
            <w:r>
              <w:rPr>
                <w:rFonts w:hint="eastAsia"/>
                <w:b/>
                <w:color w:val="auto"/>
                <w:szCs w:val="21"/>
                <w:lang w:eastAsia="zh-CN"/>
              </w:rPr>
              <w:t>措施</w:t>
            </w:r>
            <w:r>
              <w:rPr>
                <w:b/>
                <w:color w:val="auto"/>
                <w:szCs w:val="21"/>
              </w:rPr>
              <w:t>与《</w:t>
            </w:r>
            <w:r>
              <w:rPr>
                <w:rFonts w:hint="eastAsia"/>
                <w:b/>
                <w:color w:val="auto"/>
                <w:szCs w:val="21"/>
                <w:lang w:eastAsia="zh-CN"/>
              </w:rPr>
              <w:t>放射</w:t>
            </w:r>
            <w:r>
              <w:rPr>
                <w:b/>
                <w:color w:val="auto"/>
                <w:szCs w:val="21"/>
              </w:rPr>
              <w:t>诊断放射防护要求》对照一览表</w:t>
            </w:r>
          </w:p>
          <w:tbl>
            <w:tblPr>
              <w:tblStyle w:val="38"/>
              <w:tblW w:w="0" w:type="auto"/>
              <w:jc w:val="center"/>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164"/>
              <w:gridCol w:w="3000"/>
              <w:gridCol w:w="1500"/>
              <w:gridCol w:w="2146"/>
              <w:gridCol w:w="1049"/>
            </w:tblGrid>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164" w:type="dxa"/>
                  <w:tcBorders>
                    <w:top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r>
                    <w:rPr>
                      <w:color w:val="auto"/>
                      <w:sz w:val="21"/>
                      <w:szCs w:val="21"/>
                    </w:rPr>
                    <w:t>名称</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DSA机房</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r>
                    <w:rPr>
                      <w:color w:val="auto"/>
                      <w:sz w:val="21"/>
                      <w:szCs w:val="21"/>
                    </w:rPr>
                    <w:t>折算铅当量</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r>
                    <w:rPr>
                      <w:color w:val="auto"/>
                      <w:sz w:val="21"/>
                      <w:szCs w:val="21"/>
                    </w:rPr>
                    <w:t>法规要求</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备注</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r>
                    <w:rPr>
                      <w:rFonts w:hint="eastAsia"/>
                      <w:color w:val="auto"/>
                      <w:sz w:val="21"/>
                      <w:szCs w:val="21"/>
                      <w:lang w:eastAsia="zh-CN"/>
                    </w:rPr>
                    <w:t>四侧</w:t>
                  </w:r>
                  <w:r>
                    <w:rPr>
                      <w:color w:val="auto"/>
                      <w:sz w:val="21"/>
                      <w:szCs w:val="21"/>
                    </w:rPr>
                    <w:t>墙体</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四侧墙体为240</w:t>
                  </w:r>
                  <w:r>
                    <w:rPr>
                      <w:bCs/>
                      <w:color w:val="auto"/>
                      <w:sz w:val="21"/>
                      <w:szCs w:val="21"/>
                    </w:rPr>
                    <w:t>mm</w:t>
                  </w:r>
                  <w:r>
                    <w:rPr>
                      <w:rFonts w:hint="eastAsia"/>
                      <w:bCs/>
                      <w:color w:val="auto"/>
                      <w:sz w:val="21"/>
                      <w:szCs w:val="21"/>
                      <w:lang w:val="en-US" w:eastAsia="zh-CN"/>
                    </w:rPr>
                    <w:t>厚实心红砖墙+2</w:t>
                  </w:r>
                  <w:r>
                    <w:rPr>
                      <w:bCs/>
                      <w:color w:val="auto"/>
                      <w:sz w:val="21"/>
                      <w:szCs w:val="21"/>
                    </w:rPr>
                    <w:t>mmPb</w:t>
                  </w:r>
                  <w:r>
                    <w:rPr>
                      <w:rFonts w:hint="eastAsia"/>
                      <w:color w:val="auto"/>
                      <w:sz w:val="21"/>
                      <w:szCs w:val="21"/>
                      <w:lang w:eastAsia="zh-CN"/>
                    </w:rPr>
                    <w:t>硫酸钡涂料</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eastAsia"/>
                      <w:bCs/>
                      <w:color w:val="auto"/>
                      <w:sz w:val="21"/>
                      <w:szCs w:val="21"/>
                      <w:lang w:val="en-US" w:eastAsia="zh-CN"/>
                    </w:rPr>
                    <w:t>4.5</w:t>
                  </w:r>
                  <w:r>
                    <w:rPr>
                      <w:bCs/>
                      <w:color w:val="auto"/>
                      <w:sz w:val="21"/>
                      <w:szCs w:val="21"/>
                    </w:rPr>
                    <w:t>mmPb</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bCs/>
                      <w:color w:val="auto"/>
                      <w:sz w:val="21"/>
                      <w:szCs w:val="21"/>
                    </w:rPr>
                    <w:t>2</w:t>
                  </w:r>
                  <w:r>
                    <w:rPr>
                      <w:color w:val="auto"/>
                      <w:sz w:val="21"/>
                      <w:szCs w:val="21"/>
                    </w:rPr>
                    <w:t xml:space="preserve"> mmPb</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eastAsia="宋体"/>
                      <w:bCs/>
                      <w:color w:val="auto"/>
                      <w:sz w:val="21"/>
                      <w:szCs w:val="21"/>
                      <w:lang w:val="en-US" w:eastAsia="zh-CN"/>
                    </w:rPr>
                  </w:pPr>
                  <w:r>
                    <w:rPr>
                      <w:rFonts w:hint="eastAsia" w:eastAsia="宋体"/>
                      <w:bCs/>
                      <w:color w:val="auto"/>
                      <w:sz w:val="21"/>
                      <w:szCs w:val="21"/>
                      <w:lang w:val="en-US" w:eastAsia="zh-CN"/>
                    </w:rPr>
                    <w:t>符合</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color w:val="auto"/>
                      <w:sz w:val="21"/>
                      <w:szCs w:val="21"/>
                      <w:lang w:eastAsia="zh-CN"/>
                    </w:rPr>
                  </w:pPr>
                  <w:r>
                    <w:rPr>
                      <w:color w:val="auto"/>
                      <w:sz w:val="21"/>
                      <w:szCs w:val="21"/>
                    </w:rPr>
                    <w:t>顶</w:t>
                  </w:r>
                  <w:r>
                    <w:rPr>
                      <w:rFonts w:hint="eastAsia"/>
                      <w:color w:val="auto"/>
                      <w:sz w:val="21"/>
                      <w:szCs w:val="21"/>
                      <w:lang w:eastAsia="zh-CN"/>
                    </w:rPr>
                    <w:t>面</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jc w:val="center"/>
                    <w:rPr>
                      <w:color w:val="auto"/>
                      <w:szCs w:val="21"/>
                    </w:rPr>
                  </w:pPr>
                  <w:r>
                    <w:rPr>
                      <w:rFonts w:hint="eastAsia"/>
                      <w:bCs/>
                      <w:color w:val="auto"/>
                      <w:sz w:val="21"/>
                      <w:szCs w:val="21"/>
                      <w:lang w:val="en-US" w:eastAsia="zh-CN"/>
                    </w:rPr>
                    <w:t>20</w:t>
                  </w:r>
                  <w:r>
                    <w:rPr>
                      <w:rFonts w:hint="eastAsia"/>
                      <w:bCs/>
                      <w:color w:val="auto"/>
                      <w:sz w:val="21"/>
                      <w:szCs w:val="21"/>
                    </w:rPr>
                    <w:t>0mm厚</w:t>
                  </w:r>
                  <w:r>
                    <w:rPr>
                      <w:rFonts w:hint="eastAsia"/>
                      <w:bCs/>
                      <w:color w:val="auto"/>
                      <w:sz w:val="21"/>
                      <w:szCs w:val="21"/>
                      <w:lang w:eastAsia="zh-CN"/>
                    </w:rPr>
                    <w:t>钢筋</w:t>
                  </w:r>
                  <w:r>
                    <w:rPr>
                      <w:rFonts w:hint="eastAsia"/>
                      <w:bCs/>
                      <w:color w:val="auto"/>
                      <w:sz w:val="21"/>
                      <w:szCs w:val="21"/>
                    </w:rPr>
                    <w:t>混凝土+</w:t>
                  </w:r>
                  <w:r>
                    <w:rPr>
                      <w:rFonts w:hint="eastAsia"/>
                      <w:bCs/>
                      <w:color w:val="auto"/>
                      <w:sz w:val="21"/>
                      <w:szCs w:val="21"/>
                      <w:lang w:val="en-US" w:eastAsia="zh-CN"/>
                    </w:rPr>
                    <w:t>2</w:t>
                  </w:r>
                  <w:r>
                    <w:rPr>
                      <w:bCs/>
                      <w:color w:val="auto"/>
                      <w:sz w:val="21"/>
                      <w:szCs w:val="21"/>
                    </w:rPr>
                    <w:t>mmPb</w:t>
                  </w:r>
                  <w:r>
                    <w:rPr>
                      <w:rFonts w:hint="eastAsia"/>
                      <w:color w:val="auto"/>
                      <w:sz w:val="21"/>
                      <w:szCs w:val="21"/>
                      <w:lang w:eastAsia="zh-CN"/>
                    </w:rPr>
                    <w:t>硫酸钡涂料</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eastAsia"/>
                      <w:bCs/>
                      <w:color w:val="auto"/>
                      <w:sz w:val="21"/>
                      <w:szCs w:val="21"/>
                      <w:lang w:val="en-US" w:eastAsia="zh-CN"/>
                    </w:rPr>
                    <w:t>4.7</w:t>
                  </w:r>
                  <w:r>
                    <w:rPr>
                      <w:bCs/>
                      <w:color w:val="auto"/>
                      <w:sz w:val="21"/>
                      <w:szCs w:val="21"/>
                    </w:rPr>
                    <w:t>mmPb</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jc w:val="center"/>
                    <w:rPr>
                      <w:color w:val="auto"/>
                      <w:szCs w:val="21"/>
                    </w:rPr>
                  </w:pPr>
                  <w:r>
                    <w:rPr>
                      <w:rFonts w:hint="eastAsia"/>
                      <w:bCs/>
                      <w:color w:val="auto"/>
                      <w:sz w:val="21"/>
                      <w:szCs w:val="21"/>
                      <w:lang w:val="en-US" w:eastAsia="zh-CN"/>
                    </w:rPr>
                    <w:t>3</w:t>
                  </w:r>
                  <w:r>
                    <w:rPr>
                      <w:color w:val="auto"/>
                      <w:sz w:val="21"/>
                      <w:szCs w:val="21"/>
                    </w:rPr>
                    <w:t xml:space="preserve"> mmPb</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eastAsia="宋体"/>
                      <w:bCs/>
                      <w:color w:val="auto"/>
                      <w:sz w:val="21"/>
                      <w:szCs w:val="21"/>
                      <w:lang w:val="en-US" w:eastAsia="zh-CN"/>
                    </w:rPr>
                  </w:pPr>
                  <w:r>
                    <w:rPr>
                      <w:rFonts w:hint="eastAsia" w:eastAsia="宋体"/>
                      <w:bCs/>
                      <w:color w:val="auto"/>
                      <w:sz w:val="21"/>
                      <w:szCs w:val="21"/>
                      <w:lang w:val="en-US" w:eastAsia="zh-CN"/>
                    </w:rPr>
                    <w:t>符合</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r>
                    <w:rPr>
                      <w:rFonts w:hint="eastAsia"/>
                      <w:color w:val="auto"/>
                      <w:sz w:val="21"/>
                      <w:szCs w:val="21"/>
                      <w:lang w:val="en-US" w:eastAsia="zh-CN"/>
                    </w:rPr>
                    <w:t>铅</w:t>
                  </w:r>
                  <w:r>
                    <w:rPr>
                      <w:color w:val="auto"/>
                      <w:sz w:val="21"/>
                      <w:szCs w:val="21"/>
                    </w:rPr>
                    <w:t>防护门</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sz w:val="21"/>
                      <w:szCs w:val="21"/>
                      <w:lang w:eastAsia="zh-CN"/>
                    </w:rPr>
                  </w:pPr>
                  <w:r>
                    <w:rPr>
                      <w:rFonts w:hint="eastAsia"/>
                      <w:bCs/>
                      <w:color w:val="auto"/>
                      <w:sz w:val="21"/>
                      <w:szCs w:val="21"/>
                      <w:lang w:val="en-US" w:eastAsia="zh-CN"/>
                    </w:rPr>
                    <w:t>共3扇，4</w:t>
                  </w:r>
                  <w:r>
                    <w:rPr>
                      <w:rFonts w:hint="eastAsia"/>
                      <w:bCs/>
                      <w:color w:val="auto"/>
                      <w:sz w:val="21"/>
                      <w:szCs w:val="21"/>
                    </w:rPr>
                    <w:t>.</w:t>
                  </w:r>
                  <w:r>
                    <w:rPr>
                      <w:rFonts w:hint="eastAsia"/>
                      <w:bCs/>
                      <w:color w:val="auto"/>
                      <w:sz w:val="21"/>
                      <w:szCs w:val="21"/>
                      <w:lang w:val="en-US" w:eastAsia="zh-CN"/>
                    </w:rPr>
                    <w:t>0</w:t>
                  </w:r>
                  <w:r>
                    <w:rPr>
                      <w:bCs/>
                      <w:color w:val="auto"/>
                      <w:sz w:val="21"/>
                      <w:szCs w:val="21"/>
                    </w:rPr>
                    <w:t>mm</w:t>
                  </w:r>
                  <w:r>
                    <w:rPr>
                      <w:rFonts w:hint="eastAsia"/>
                      <w:bCs/>
                      <w:color w:val="auto"/>
                      <w:sz w:val="21"/>
                      <w:szCs w:val="21"/>
                    </w:rPr>
                    <w:t>Pb铅板</w:t>
                  </w:r>
                  <w:r>
                    <w:rPr>
                      <w:rFonts w:hint="eastAsia"/>
                      <w:bCs/>
                      <w:color w:val="auto"/>
                      <w:sz w:val="21"/>
                      <w:szCs w:val="21"/>
                      <w:lang w:val="en-US" w:eastAsia="zh-CN"/>
                    </w:rPr>
                    <w:t>+不锈钢</w:t>
                  </w:r>
                  <w:r>
                    <w:rPr>
                      <w:rFonts w:hint="eastAsia"/>
                      <w:bCs/>
                      <w:color w:val="auto"/>
                      <w:sz w:val="21"/>
                      <w:szCs w:val="21"/>
                      <w:lang w:eastAsia="zh-CN"/>
                    </w:rPr>
                    <w:t>板覆面（不</w:t>
                  </w:r>
                  <w:r>
                    <w:rPr>
                      <w:rFonts w:hint="eastAsia"/>
                      <w:bCs/>
                      <w:color w:val="auto"/>
                      <w:sz w:val="21"/>
                      <w:szCs w:val="21"/>
                      <w:lang w:val="en-US" w:eastAsia="zh-CN"/>
                    </w:rPr>
                    <w:t>锈钢</w:t>
                  </w:r>
                  <w:r>
                    <w:rPr>
                      <w:rFonts w:hint="eastAsia"/>
                      <w:bCs/>
                      <w:color w:val="auto"/>
                      <w:sz w:val="21"/>
                      <w:szCs w:val="21"/>
                      <w:lang w:eastAsia="zh-CN"/>
                    </w:rPr>
                    <w:t>板以</w:t>
                  </w:r>
                  <w:r>
                    <w:rPr>
                      <w:rFonts w:hint="eastAsia"/>
                      <w:bCs/>
                      <w:color w:val="auto"/>
                      <w:sz w:val="21"/>
                      <w:szCs w:val="21"/>
                      <w:lang w:val="en-US" w:eastAsia="zh-CN"/>
                    </w:rPr>
                    <w:t>2.5mm计）</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bCs/>
                      <w:color w:val="auto"/>
                      <w:sz w:val="21"/>
                      <w:szCs w:val="21"/>
                      <w:lang w:val="en-US" w:eastAsia="zh-CN"/>
                    </w:rPr>
                    <w:t>4</w:t>
                  </w:r>
                  <w:r>
                    <w:rPr>
                      <w:rFonts w:hint="eastAsia"/>
                      <w:bCs/>
                      <w:color w:val="auto"/>
                      <w:sz w:val="21"/>
                      <w:szCs w:val="21"/>
                    </w:rPr>
                    <w:t>.</w:t>
                  </w:r>
                  <w:r>
                    <w:rPr>
                      <w:rFonts w:hint="eastAsia"/>
                      <w:bCs/>
                      <w:color w:val="auto"/>
                      <w:sz w:val="21"/>
                      <w:szCs w:val="21"/>
                      <w:lang w:val="en-US" w:eastAsia="zh-CN"/>
                    </w:rPr>
                    <w:t>5</w:t>
                  </w:r>
                  <w:r>
                    <w:rPr>
                      <w:bCs/>
                      <w:color w:val="auto"/>
                      <w:sz w:val="21"/>
                      <w:szCs w:val="21"/>
                    </w:rPr>
                    <w:t>mm</w:t>
                  </w:r>
                  <w:r>
                    <w:rPr>
                      <w:rFonts w:hint="eastAsia"/>
                      <w:bCs/>
                      <w:color w:val="auto"/>
                      <w:sz w:val="21"/>
                      <w:szCs w:val="21"/>
                    </w:rPr>
                    <w:t>Pb</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bCs/>
                      <w:color w:val="auto"/>
                      <w:sz w:val="21"/>
                      <w:szCs w:val="21"/>
                    </w:rPr>
                    <w:t>2</w:t>
                  </w:r>
                  <w:r>
                    <w:rPr>
                      <w:color w:val="auto"/>
                      <w:sz w:val="21"/>
                      <w:szCs w:val="21"/>
                    </w:rPr>
                    <w:t xml:space="preserve"> mmPb</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eastAsia="宋体"/>
                      <w:bCs/>
                      <w:color w:val="auto"/>
                      <w:sz w:val="21"/>
                      <w:szCs w:val="21"/>
                      <w:lang w:val="en-US" w:eastAsia="zh-CN"/>
                    </w:rPr>
                    <w:t>符合</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color w:val="auto"/>
                      <w:sz w:val="21"/>
                      <w:szCs w:val="21"/>
                    </w:rPr>
                  </w:pPr>
                  <w:r>
                    <w:rPr>
                      <w:rFonts w:hint="eastAsia"/>
                      <w:color w:val="auto"/>
                      <w:sz w:val="21"/>
                      <w:szCs w:val="21"/>
                      <w:lang w:val="en-US" w:eastAsia="zh-CN"/>
                    </w:rPr>
                    <w:t>铅</w:t>
                  </w:r>
                  <w:r>
                    <w:rPr>
                      <w:color w:val="auto"/>
                      <w:sz w:val="21"/>
                      <w:szCs w:val="21"/>
                    </w:rPr>
                    <w:t>观察窗</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bCs/>
                      <w:color w:val="auto"/>
                      <w:sz w:val="21"/>
                      <w:szCs w:val="21"/>
                    </w:rPr>
                  </w:pPr>
                  <w:r>
                    <w:rPr>
                      <w:rFonts w:hint="eastAsia"/>
                      <w:bCs/>
                      <w:color w:val="auto"/>
                      <w:sz w:val="21"/>
                      <w:szCs w:val="21"/>
                      <w:lang w:val="en-US" w:eastAsia="zh-CN"/>
                    </w:rPr>
                    <w:t>4</w:t>
                  </w:r>
                  <w:r>
                    <w:rPr>
                      <w:bCs/>
                      <w:color w:val="auto"/>
                      <w:sz w:val="21"/>
                      <w:szCs w:val="21"/>
                    </w:rPr>
                    <w:t>mmPb铅</w:t>
                  </w:r>
                  <w:r>
                    <w:rPr>
                      <w:rFonts w:hint="eastAsia"/>
                      <w:bCs/>
                      <w:color w:val="auto"/>
                      <w:sz w:val="21"/>
                      <w:szCs w:val="21"/>
                    </w:rPr>
                    <w:t>玻璃观察窗</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bCs/>
                      <w:color w:val="auto"/>
                      <w:sz w:val="21"/>
                      <w:szCs w:val="21"/>
                      <w:lang w:val="en-US" w:eastAsia="zh-CN"/>
                    </w:rPr>
                    <w:t>4</w:t>
                  </w:r>
                  <w:r>
                    <w:rPr>
                      <w:bCs/>
                      <w:color w:val="auto"/>
                      <w:sz w:val="21"/>
                      <w:szCs w:val="21"/>
                    </w:rPr>
                    <w:t>mm</w:t>
                  </w:r>
                  <w:r>
                    <w:rPr>
                      <w:rFonts w:hint="eastAsia"/>
                      <w:bCs/>
                      <w:color w:val="auto"/>
                      <w:sz w:val="21"/>
                      <w:szCs w:val="21"/>
                    </w:rPr>
                    <w:t>Pb</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bCs/>
                      <w:color w:val="auto"/>
                      <w:sz w:val="21"/>
                      <w:szCs w:val="21"/>
                    </w:rPr>
                    <w:t>2</w:t>
                  </w:r>
                  <w:r>
                    <w:rPr>
                      <w:color w:val="auto"/>
                      <w:sz w:val="21"/>
                      <w:szCs w:val="21"/>
                    </w:rPr>
                    <w:t xml:space="preserve"> mmPb</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eastAsia="宋体"/>
                      <w:bCs/>
                      <w:color w:val="auto"/>
                      <w:sz w:val="21"/>
                      <w:szCs w:val="21"/>
                      <w:lang w:val="en-US" w:eastAsia="zh-CN"/>
                    </w:rPr>
                    <w:t>符合</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个人防护用品</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sz w:val="21"/>
                      <w:szCs w:val="21"/>
                      <w:lang w:eastAsia="zh-CN"/>
                    </w:rPr>
                  </w:pPr>
                  <w:r>
                    <w:rPr>
                      <w:rFonts w:hint="default" w:ascii="Times New Roman" w:hAnsi="Times New Roman" w:eastAsia="宋体" w:cs="Times New Roman"/>
                      <w:bCs/>
                      <w:color w:val="auto"/>
                      <w:kern w:val="2"/>
                      <w:sz w:val="21"/>
                      <w:szCs w:val="21"/>
                      <w:lang w:val="en-US" w:eastAsia="zh-CN" w:bidi="ar-SA"/>
                    </w:rPr>
                    <w:t>4件铅方巾、4顶铅橡胶帽、</w:t>
                  </w:r>
                  <w:r>
                    <w:rPr>
                      <w:rFonts w:hint="eastAsia" w:ascii="Times New Roman" w:hAnsi="Times New Roman" w:eastAsia="宋体" w:cs="Times New Roman"/>
                      <w:bCs/>
                      <w:color w:val="auto"/>
                      <w:kern w:val="2"/>
                      <w:sz w:val="21"/>
                      <w:szCs w:val="21"/>
                      <w:lang w:val="en-US" w:eastAsia="zh-CN" w:bidi="ar-SA"/>
                    </w:rPr>
                    <w:t>6</w:t>
                  </w:r>
                  <w:r>
                    <w:rPr>
                      <w:rFonts w:hint="default" w:ascii="Times New Roman" w:hAnsi="Times New Roman" w:eastAsia="宋体" w:cs="Times New Roman"/>
                      <w:bCs/>
                      <w:color w:val="auto"/>
                      <w:kern w:val="2"/>
                      <w:sz w:val="21"/>
                      <w:szCs w:val="21"/>
                      <w:lang w:val="en-US" w:eastAsia="zh-CN" w:bidi="ar-SA"/>
                    </w:rPr>
                    <w:t>件铅橡胶围脖、</w:t>
                  </w:r>
                  <w:r>
                    <w:rPr>
                      <w:rFonts w:hint="eastAsia" w:ascii="Times New Roman" w:hAnsi="Times New Roman" w:eastAsia="宋体" w:cs="Times New Roman"/>
                      <w:bCs/>
                      <w:color w:val="auto"/>
                      <w:kern w:val="2"/>
                      <w:sz w:val="21"/>
                      <w:szCs w:val="21"/>
                      <w:lang w:val="en-US" w:eastAsia="zh-CN" w:bidi="ar-SA"/>
                    </w:rPr>
                    <w:t>6</w:t>
                  </w:r>
                  <w:r>
                    <w:rPr>
                      <w:rFonts w:hint="default" w:ascii="Times New Roman" w:hAnsi="Times New Roman" w:eastAsia="宋体" w:cs="Times New Roman"/>
                      <w:bCs/>
                      <w:color w:val="auto"/>
                      <w:kern w:val="2"/>
                      <w:sz w:val="21"/>
                      <w:szCs w:val="21"/>
                      <w:lang w:val="en-US" w:eastAsia="zh-CN" w:bidi="ar-SA"/>
                    </w:rPr>
                    <w:t>副铅防护眼镜、</w:t>
                  </w:r>
                  <w:r>
                    <w:rPr>
                      <w:rFonts w:hint="eastAsia" w:ascii="Times New Roman" w:hAnsi="Times New Roman" w:eastAsia="宋体" w:cs="Times New Roman"/>
                      <w:bCs/>
                      <w:color w:val="auto"/>
                      <w:kern w:val="2"/>
                      <w:sz w:val="21"/>
                      <w:szCs w:val="21"/>
                      <w:lang w:val="en-US" w:eastAsia="zh-CN" w:bidi="ar-SA"/>
                    </w:rPr>
                    <w:t>5</w:t>
                  </w:r>
                  <w:r>
                    <w:rPr>
                      <w:rFonts w:hint="default" w:ascii="Times New Roman" w:hAnsi="Times New Roman" w:eastAsia="宋体" w:cs="Times New Roman"/>
                      <w:bCs/>
                      <w:color w:val="auto"/>
                      <w:kern w:val="2"/>
                      <w:sz w:val="21"/>
                      <w:szCs w:val="21"/>
                      <w:lang w:val="en-US" w:eastAsia="zh-CN" w:bidi="ar-SA"/>
                    </w:rPr>
                    <w:t>副铅手套</w:t>
                  </w:r>
                  <w:r>
                    <w:rPr>
                      <w:rFonts w:hint="eastAsia" w:ascii="Times New Roman" w:hAnsi="Times New Roman" w:eastAsia="宋体" w:cs="Times New Roman"/>
                      <w:bCs/>
                      <w:color w:val="auto"/>
                      <w:kern w:val="2"/>
                      <w:sz w:val="21"/>
                      <w:szCs w:val="21"/>
                      <w:lang w:val="en-US" w:eastAsia="zh-CN" w:bidi="ar-SA"/>
                    </w:rPr>
                    <w:t>、6件铅衣</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eastAsia="宋体"/>
                      <w:bCs/>
                      <w:color w:val="auto"/>
                      <w:sz w:val="21"/>
                      <w:szCs w:val="21"/>
                      <w:lang w:val="en-US" w:eastAsia="zh-CN"/>
                    </w:rPr>
                  </w:pPr>
                  <w:r>
                    <w:rPr>
                      <w:rFonts w:hint="eastAsia" w:eastAsia="宋体"/>
                      <w:bCs/>
                      <w:color w:val="auto"/>
                      <w:sz w:val="21"/>
                      <w:szCs w:val="21"/>
                      <w:lang w:val="en-US" w:eastAsia="zh-CN"/>
                    </w:rPr>
                    <w:t>/</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bCs/>
                      <w:color w:val="auto"/>
                      <w:sz w:val="21"/>
                      <w:szCs w:val="21"/>
                      <w:lang w:val="en-US"/>
                    </w:rPr>
                  </w:pPr>
                  <w:r>
                    <w:rPr>
                      <w:rFonts w:hint="eastAsia" w:eastAsia="宋体"/>
                      <w:bCs/>
                      <w:color w:val="auto"/>
                      <w:sz w:val="21"/>
                      <w:szCs w:val="21"/>
                      <w:lang w:val="en-US" w:eastAsia="zh-CN"/>
                    </w:rPr>
                    <w:t>铅</w:t>
                  </w:r>
                  <w:r>
                    <w:rPr>
                      <w:rFonts w:hint="eastAsia"/>
                      <w:bCs/>
                      <w:color w:val="auto"/>
                      <w:kern w:val="2"/>
                      <w:sz w:val="21"/>
                      <w:szCs w:val="21"/>
                      <w:lang w:val="en-US" w:eastAsia="zh-CN" w:bidi="ar-SA"/>
                    </w:rPr>
                    <w:t>橡胶</w:t>
                  </w:r>
                  <w:r>
                    <w:rPr>
                      <w:rFonts w:hint="eastAsia" w:eastAsia="宋体"/>
                      <w:bCs/>
                      <w:color w:val="auto"/>
                      <w:sz w:val="21"/>
                      <w:szCs w:val="21"/>
                      <w:lang w:val="en-US" w:eastAsia="zh-CN"/>
                    </w:rPr>
                    <w:t>围裙、铅</w:t>
                  </w:r>
                  <w:r>
                    <w:rPr>
                      <w:rFonts w:hint="eastAsia"/>
                      <w:bCs/>
                      <w:color w:val="auto"/>
                      <w:kern w:val="2"/>
                      <w:sz w:val="21"/>
                      <w:szCs w:val="21"/>
                      <w:lang w:val="en-US" w:eastAsia="zh-CN" w:bidi="ar-SA"/>
                    </w:rPr>
                    <w:t>橡胶</w:t>
                  </w:r>
                  <w:r>
                    <w:rPr>
                      <w:rFonts w:hint="eastAsia" w:eastAsia="宋体"/>
                      <w:bCs/>
                      <w:color w:val="auto"/>
                      <w:sz w:val="21"/>
                      <w:szCs w:val="21"/>
                      <w:lang w:val="en-US" w:eastAsia="zh-CN"/>
                    </w:rPr>
                    <w:t>颈套、铅</w:t>
                  </w:r>
                  <w:r>
                    <w:rPr>
                      <w:rFonts w:hint="eastAsia"/>
                      <w:bCs/>
                      <w:color w:val="auto"/>
                      <w:kern w:val="2"/>
                      <w:sz w:val="21"/>
                      <w:szCs w:val="21"/>
                      <w:lang w:val="en-US" w:eastAsia="zh-CN" w:bidi="ar-SA"/>
                    </w:rPr>
                    <w:t>橡胶</w:t>
                  </w:r>
                  <w:r>
                    <w:rPr>
                      <w:rFonts w:hint="eastAsia" w:eastAsia="宋体"/>
                      <w:bCs/>
                      <w:color w:val="auto"/>
                      <w:sz w:val="21"/>
                      <w:szCs w:val="21"/>
                      <w:lang w:val="en-US" w:eastAsia="zh-CN"/>
                    </w:rPr>
                    <w:t>帽子、铅防护眼镜</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eastAsia="宋体"/>
                      <w:bCs/>
                      <w:color w:val="auto"/>
                      <w:sz w:val="21"/>
                      <w:szCs w:val="21"/>
                      <w:lang w:val="en-US" w:eastAsia="zh-CN"/>
                    </w:rPr>
                    <w:t>符合</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4" w:type="dxa"/>
                  <w:tcBorders>
                    <w:top w:val="single" w:color="auto" w:sz="8" w:space="0"/>
                    <w:left w:val="single" w:color="auto" w:sz="4"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color w:val="auto"/>
                      <w:sz w:val="21"/>
                      <w:szCs w:val="21"/>
                      <w:lang w:eastAsia="zh-CN"/>
                    </w:rPr>
                  </w:pPr>
                  <w:r>
                    <w:rPr>
                      <w:rFonts w:hint="eastAsia" w:cs="Times New Roman"/>
                      <w:color w:val="auto"/>
                      <w:lang w:val="en-US" w:eastAsia="zh-CN"/>
                    </w:rPr>
                    <w:t>辐射检测设备</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color w:val="auto"/>
                      <w:sz w:val="21"/>
                      <w:szCs w:val="21"/>
                      <w:lang w:eastAsia="zh-CN"/>
                    </w:rPr>
                  </w:pPr>
                  <w:r>
                    <w:rPr>
                      <w:rFonts w:hint="eastAsia" w:cs="Times New Roman"/>
                      <w:color w:val="auto"/>
                      <w:lang w:val="en-US" w:eastAsia="zh-CN"/>
                    </w:rPr>
                    <w:t>辐射巡检仪1台</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PrEx>
              <w:trPr>
                <w:trHeight w:val="90" w:hRule="atLeast"/>
                <w:jc w:val="center"/>
              </w:trPr>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机房有效使用面积</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eastAsia="宋体"/>
                      <w:bCs/>
                      <w:color w:val="auto"/>
                      <w:kern w:val="2"/>
                      <w:sz w:val="21"/>
                      <w:szCs w:val="21"/>
                      <w:lang w:val="en-US" w:eastAsia="zh-CN" w:bidi="ar-SA"/>
                    </w:rPr>
                  </w:pPr>
                  <w:r>
                    <w:rPr>
                      <w:rFonts w:hint="eastAsia" w:eastAsia="宋体"/>
                      <w:bCs/>
                      <w:color w:val="auto"/>
                      <w:kern w:val="2"/>
                      <w:sz w:val="21"/>
                      <w:szCs w:val="21"/>
                      <w:lang w:val="en-US" w:eastAsia="zh-CN" w:bidi="ar-SA"/>
                    </w:rPr>
                    <w:t>42.7</w:t>
                  </w:r>
                  <w:r>
                    <w:rPr>
                      <w:bCs/>
                      <w:color w:val="auto"/>
                      <w:sz w:val="21"/>
                      <w:szCs w:val="21"/>
                    </w:rPr>
                    <w:t>m</w:t>
                  </w:r>
                  <w:r>
                    <w:rPr>
                      <w:rFonts w:hint="eastAsia"/>
                      <w:bCs/>
                      <w:color w:val="auto"/>
                      <w:sz w:val="21"/>
                      <w:szCs w:val="21"/>
                      <w:vertAlign w:val="superscript"/>
                      <w:lang w:val="en-US" w:eastAsia="zh-CN"/>
                    </w:rPr>
                    <w:t>2</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eastAsia="宋体"/>
                      <w:bCs/>
                      <w:color w:val="auto"/>
                      <w:sz w:val="21"/>
                      <w:szCs w:val="21"/>
                      <w:lang w:val="en-US" w:eastAsia="zh-CN"/>
                    </w:rPr>
                  </w:pPr>
                  <w:r>
                    <w:rPr>
                      <w:rFonts w:hint="eastAsia" w:eastAsia="宋体"/>
                      <w:bCs/>
                      <w:color w:val="auto"/>
                      <w:sz w:val="21"/>
                      <w:szCs w:val="21"/>
                      <w:lang w:val="en-US" w:eastAsia="zh-CN"/>
                    </w:rPr>
                    <w:t>/</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eastAsia="宋体"/>
                      <w:bCs/>
                      <w:color w:val="auto"/>
                      <w:sz w:val="21"/>
                      <w:szCs w:val="21"/>
                      <w:lang w:val="en-US" w:eastAsia="zh-CN"/>
                    </w:rPr>
                  </w:pPr>
                  <w:r>
                    <w:rPr>
                      <w:rFonts w:hint="eastAsia" w:eastAsia="宋体"/>
                      <w:bCs/>
                      <w:color w:val="auto"/>
                      <w:sz w:val="21"/>
                      <w:szCs w:val="21"/>
                      <w:lang w:val="en-US" w:eastAsia="zh-CN"/>
                    </w:rPr>
                    <w:t>最小20</w:t>
                  </w:r>
                  <w:r>
                    <w:rPr>
                      <w:bCs/>
                      <w:color w:val="auto"/>
                      <w:sz w:val="21"/>
                      <w:szCs w:val="21"/>
                    </w:rPr>
                    <w:t>m</w:t>
                  </w:r>
                  <w:r>
                    <w:rPr>
                      <w:rFonts w:hint="eastAsia"/>
                      <w:bCs/>
                      <w:color w:val="auto"/>
                      <w:sz w:val="21"/>
                      <w:szCs w:val="21"/>
                      <w:vertAlign w:val="superscript"/>
                      <w:lang w:val="en-US" w:eastAsia="zh-CN"/>
                    </w:rPr>
                    <w:t>2</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eastAsia="宋体"/>
                      <w:bCs/>
                      <w:color w:val="auto"/>
                      <w:sz w:val="21"/>
                      <w:szCs w:val="21"/>
                      <w:lang w:val="en-US" w:eastAsia="zh-CN"/>
                    </w:rPr>
                    <w:t>符合</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4" w:type="dxa"/>
                  <w:tcBorders>
                    <w:top w:val="single" w:color="auto" w:sz="8" w:space="0"/>
                    <w:left w:val="single" w:color="auto" w:sz="4"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eastAsia"/>
                      <w:color w:val="auto"/>
                      <w:sz w:val="21"/>
                      <w:szCs w:val="21"/>
                      <w:lang w:eastAsia="zh-CN"/>
                    </w:rPr>
                  </w:pPr>
                  <w:r>
                    <w:rPr>
                      <w:rFonts w:hint="eastAsia"/>
                      <w:color w:val="auto"/>
                      <w:sz w:val="21"/>
                      <w:szCs w:val="21"/>
                      <w:lang w:eastAsia="zh-CN"/>
                    </w:rPr>
                    <w:t>单边长度</w:t>
                  </w:r>
                </w:p>
              </w:tc>
              <w:tc>
                <w:tcPr>
                  <w:tcW w:w="3000" w:type="dxa"/>
                  <w:tcBorders>
                    <w:top w:val="single" w:color="auto" w:sz="8" w:space="0"/>
                    <w:left w:val="single" w:color="auto" w:sz="8" w:space="0"/>
                    <w:bottom w:val="single" w:color="auto" w:sz="8" w:space="0"/>
                    <w:right w:val="single" w:color="auto" w:sz="8" w:space="0"/>
                  </w:tcBorders>
                  <w:noWrap w:val="0"/>
                  <w:vAlign w:val="center"/>
                </w:tcPr>
                <w:p>
                  <w:pPr>
                    <w:pStyle w:val="80"/>
                    <w:spacing w:before="0" w:beforeLines="0" w:line="240" w:lineRule="auto"/>
                    <w:ind w:firstLine="0" w:firstLineChars="0"/>
                    <w:jc w:val="center"/>
                    <w:rPr>
                      <w:rFonts w:hint="default" w:eastAsia="宋体"/>
                      <w:bCs/>
                      <w:color w:val="auto"/>
                      <w:kern w:val="2"/>
                      <w:sz w:val="21"/>
                      <w:szCs w:val="21"/>
                      <w:lang w:val="en-US" w:eastAsia="zh-CN" w:bidi="ar-SA"/>
                    </w:rPr>
                  </w:pPr>
                  <w:r>
                    <w:rPr>
                      <w:rFonts w:hint="eastAsia" w:eastAsia="宋体"/>
                      <w:bCs/>
                      <w:color w:val="auto"/>
                      <w:kern w:val="2"/>
                      <w:sz w:val="21"/>
                      <w:szCs w:val="21"/>
                      <w:lang w:val="en-US" w:eastAsia="zh-CN" w:bidi="ar-SA"/>
                    </w:rPr>
                    <w:t>6.1</w:t>
                  </w:r>
                  <w:r>
                    <w:rPr>
                      <w:rFonts w:hint="eastAsia"/>
                      <w:bCs/>
                      <w:color w:val="auto"/>
                      <w:sz w:val="21"/>
                      <w:szCs w:val="21"/>
                      <w:lang w:val="en-US" w:eastAsia="zh-CN"/>
                    </w:rPr>
                    <w:t>m</w:t>
                  </w:r>
                </w:p>
              </w:tc>
              <w:tc>
                <w:tcPr>
                  <w:tcW w:w="1500"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eastAsia" w:eastAsia="宋体"/>
                      <w:bCs/>
                      <w:color w:val="auto"/>
                      <w:sz w:val="21"/>
                      <w:szCs w:val="21"/>
                      <w:lang w:val="en-US" w:eastAsia="zh-CN"/>
                    </w:rPr>
                  </w:pPr>
                  <w:r>
                    <w:rPr>
                      <w:rFonts w:hint="eastAsia" w:eastAsia="宋体"/>
                      <w:bCs/>
                      <w:color w:val="auto"/>
                      <w:sz w:val="21"/>
                      <w:szCs w:val="21"/>
                      <w:lang w:val="en-US" w:eastAsia="zh-CN"/>
                    </w:rPr>
                    <w:t>/</w:t>
                  </w:r>
                </w:p>
              </w:tc>
              <w:tc>
                <w:tcPr>
                  <w:tcW w:w="2146"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rFonts w:hint="default" w:eastAsia="宋体"/>
                      <w:bCs/>
                      <w:color w:val="auto"/>
                      <w:sz w:val="21"/>
                      <w:szCs w:val="21"/>
                      <w:lang w:val="en-US" w:eastAsia="zh-CN"/>
                    </w:rPr>
                  </w:pPr>
                  <w:r>
                    <w:rPr>
                      <w:rFonts w:hint="eastAsia" w:eastAsia="宋体"/>
                      <w:bCs/>
                      <w:color w:val="auto"/>
                      <w:sz w:val="21"/>
                      <w:szCs w:val="21"/>
                      <w:lang w:val="en-US" w:eastAsia="zh-CN"/>
                    </w:rPr>
                    <w:t>最小3.5</w:t>
                  </w:r>
                  <w:r>
                    <w:rPr>
                      <w:rFonts w:hint="eastAsia"/>
                      <w:bCs/>
                      <w:color w:val="auto"/>
                      <w:sz w:val="21"/>
                      <w:szCs w:val="21"/>
                      <w:lang w:val="en-US" w:eastAsia="zh-CN"/>
                    </w:rPr>
                    <w:t>m</w:t>
                  </w:r>
                </w:p>
              </w:tc>
              <w:tc>
                <w:tcPr>
                  <w:tcW w:w="1049" w:type="dxa"/>
                  <w:tcBorders>
                    <w:top w:val="single" w:color="auto" w:sz="8" w:space="0"/>
                    <w:left w:val="single" w:color="auto" w:sz="8" w:space="0"/>
                    <w:bottom w:val="single" w:color="auto" w:sz="8" w:space="0"/>
                    <w:right w:val="single" w:color="auto" w:sz="8" w:space="0"/>
                  </w:tcBorders>
                  <w:noWrap w:val="0"/>
                  <w:vAlign w:val="center"/>
                </w:tcPr>
                <w:p>
                  <w:pPr>
                    <w:spacing w:before="0" w:beforeLines="0" w:line="240" w:lineRule="auto"/>
                    <w:ind w:firstLine="0" w:firstLineChars="0"/>
                    <w:jc w:val="center"/>
                    <w:rPr>
                      <w:bCs/>
                      <w:color w:val="auto"/>
                      <w:sz w:val="21"/>
                      <w:szCs w:val="21"/>
                    </w:rPr>
                  </w:pPr>
                  <w:r>
                    <w:rPr>
                      <w:rFonts w:hint="eastAsia" w:eastAsia="宋体"/>
                      <w:bCs/>
                      <w:color w:val="auto"/>
                      <w:sz w:val="21"/>
                      <w:szCs w:val="21"/>
                      <w:lang w:val="en-US" w:eastAsia="zh-CN"/>
                    </w:rPr>
                    <w:t>符合</w:t>
                  </w:r>
                </w:p>
              </w:tc>
            </w:tr>
          </w:tbl>
          <w:p>
            <w:pPr>
              <w:widowControl w:val="0"/>
              <w:spacing w:line="360" w:lineRule="auto"/>
              <w:jc w:val="both"/>
              <w:rPr>
                <w:rFonts w:hint="eastAsia" w:ascii="Times New Roman" w:hAnsi="Times New Roman" w:cs="Times New Roman"/>
                <w:color w:val="auto"/>
              </w:rPr>
            </w:pPr>
          </w:p>
          <w:p>
            <w:pPr>
              <w:widowControl w:val="0"/>
              <w:numPr>
                <w:ilvl w:val="0"/>
                <w:numId w:val="0"/>
              </w:numPr>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cs="Times New Roman"/>
                <w:b/>
                <w:bCs/>
                <w:color w:val="auto"/>
                <w:lang w:val="en-US" w:eastAsia="zh-CN"/>
              </w:rPr>
              <w:t>4</w:t>
            </w:r>
            <w:r>
              <w:rPr>
                <w:rFonts w:hint="default" w:ascii="Times New Roman" w:hAnsi="Times New Roman" w:eastAsia="宋体" w:cs="Times New Roman"/>
                <w:b/>
                <w:bCs/>
                <w:color w:val="auto"/>
                <w:lang w:val="en-US" w:eastAsia="zh-CN"/>
              </w:rPr>
              <w:t xml:space="preserve">  DSA项目</w:t>
            </w:r>
            <w:r>
              <w:rPr>
                <w:rFonts w:hint="eastAsia" w:ascii="Times New Roman" w:hAnsi="Times New Roman" w:cs="Times New Roman"/>
                <w:b/>
                <w:bCs/>
                <w:color w:val="auto"/>
                <w:lang w:val="en-US" w:eastAsia="zh-CN"/>
              </w:rPr>
              <w:t>辐射防护措施</w:t>
            </w:r>
            <w:r>
              <w:rPr>
                <w:rFonts w:hint="default" w:ascii="Times New Roman" w:hAnsi="Times New Roman" w:eastAsia="宋体" w:cs="Times New Roman"/>
                <w:b/>
                <w:bCs/>
                <w:color w:val="auto"/>
                <w:lang w:val="en-US" w:eastAsia="zh-CN"/>
              </w:rPr>
              <w:t>现场调查情况</w:t>
            </w:r>
          </w:p>
          <w:p>
            <w:pPr>
              <w:widowControl w:val="0"/>
              <w:spacing w:line="360" w:lineRule="auto"/>
              <w:ind w:firstLine="480" w:firstLineChars="200"/>
              <w:jc w:val="both"/>
              <w:rPr>
                <w:rFonts w:ascii="Times New Roman" w:hAnsi="Times New Roman" w:cs="Times New Roman"/>
                <w:color w:val="auto"/>
              </w:rPr>
            </w:pPr>
          </w:p>
        </w:tc>
      </w:tr>
    </w:tbl>
    <w:p>
      <w:pPr>
        <w:rPr>
          <w:color w:val="auto"/>
        </w:rPr>
      </w:pPr>
    </w:p>
    <w:tbl>
      <w:tblPr>
        <w:tblStyle w:val="38"/>
        <w:tblW w:w="95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44" w:hRule="atLeast"/>
          <w:jc w:val="center"/>
        </w:trPr>
        <w:tc>
          <w:tcPr>
            <w:tcW w:w="9584" w:type="dxa"/>
            <w:tcBorders>
              <w:top w:val="single" w:color="auto" w:sz="4" w:space="0"/>
              <w:left w:val="single" w:color="auto" w:sz="4" w:space="0"/>
              <w:bottom w:val="single" w:color="auto" w:sz="4" w:space="0"/>
              <w:right w:val="single" w:color="auto" w:sz="4" w:space="0"/>
            </w:tcBorders>
          </w:tcPr>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4"/>
              <w:gridCol w:w="4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Pr>
                <w:p>
                  <w:pPr>
                    <w:widowControl w:val="0"/>
                    <w:jc w:val="both"/>
                    <w:rPr>
                      <w:rFonts w:hint="default"/>
                      <w:color w:val="auto"/>
                      <w:lang w:val="en-US" w:eastAsia="zh-CN"/>
                    </w:rPr>
                  </w:pPr>
                  <w:r>
                    <w:rPr>
                      <w:rFonts w:hint="default"/>
                      <w:color w:val="auto"/>
                      <w:lang w:val="en-US" w:eastAsia="zh-CN"/>
                    </w:rPr>
                    <w:drawing>
                      <wp:inline distT="0" distB="0" distL="114300" distR="114300">
                        <wp:extent cx="2681605" cy="1593850"/>
                        <wp:effectExtent l="0" t="0" r="4445" b="6350"/>
                        <wp:docPr id="25" name="图片 25" descr="DSA机房内部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SA机房内部照片1"/>
                                <pic:cNvPicPr>
                                  <a:picLocks noChangeAspect="1"/>
                                </pic:cNvPicPr>
                              </pic:nvPicPr>
                              <pic:blipFill>
                                <a:blip r:embed="rId23"/>
                                <a:stretch>
                                  <a:fillRect/>
                                </a:stretch>
                              </pic:blipFill>
                              <pic:spPr>
                                <a:xfrm>
                                  <a:off x="0" y="0"/>
                                  <a:ext cx="2681605" cy="1593850"/>
                                </a:xfrm>
                                <a:prstGeom prst="rect">
                                  <a:avLst/>
                                </a:prstGeom>
                              </pic:spPr>
                            </pic:pic>
                          </a:graphicData>
                        </a:graphic>
                      </wp:inline>
                    </w:drawing>
                  </w:r>
                </w:p>
                <w:p>
                  <w:pPr>
                    <w:pStyle w:val="14"/>
                    <w:widowControl w:val="0"/>
                    <w:jc w:val="center"/>
                    <w:rPr>
                      <w:rFonts w:hint="default"/>
                      <w:color w:val="auto"/>
                      <w:lang w:val="en-US" w:eastAsia="zh-CN"/>
                    </w:rPr>
                  </w:pPr>
                  <w:r>
                    <w:rPr>
                      <w:rFonts w:hint="eastAsia"/>
                      <w:color w:val="auto"/>
                      <w:sz w:val="21"/>
                      <w:szCs w:val="21"/>
                      <w:lang w:val="en-US" w:eastAsia="zh-CN"/>
                    </w:rPr>
                    <w:t>DSA机房内部照片1</w:t>
                  </w:r>
                </w:p>
              </w:tc>
              <w:tc>
                <w:tcPr>
                  <w:tcW w:w="4474" w:type="dxa"/>
                </w:tcPr>
                <w:p>
                  <w:pPr>
                    <w:widowControl w:val="0"/>
                    <w:jc w:val="both"/>
                    <w:rPr>
                      <w:rFonts w:hint="default"/>
                      <w:color w:val="auto"/>
                      <w:lang w:val="en-US" w:eastAsia="zh-CN"/>
                    </w:rPr>
                  </w:pPr>
                  <w:r>
                    <w:rPr>
                      <w:rFonts w:hint="default"/>
                      <w:color w:val="auto"/>
                      <w:lang w:val="en-US" w:eastAsia="zh-CN"/>
                    </w:rPr>
                    <w:drawing>
                      <wp:inline distT="0" distB="0" distL="114300" distR="114300">
                        <wp:extent cx="2681605" cy="1607820"/>
                        <wp:effectExtent l="0" t="0" r="4445" b="11430"/>
                        <wp:docPr id="26" name="图片 26" descr="DSA机房内部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SA机房内部照片2"/>
                                <pic:cNvPicPr>
                                  <a:picLocks noChangeAspect="1"/>
                                </pic:cNvPicPr>
                              </pic:nvPicPr>
                              <pic:blipFill>
                                <a:blip r:embed="rId24"/>
                                <a:stretch>
                                  <a:fillRect/>
                                </a:stretch>
                              </pic:blipFill>
                              <pic:spPr>
                                <a:xfrm>
                                  <a:off x="0" y="0"/>
                                  <a:ext cx="2681605" cy="1607820"/>
                                </a:xfrm>
                                <a:prstGeom prst="rect">
                                  <a:avLst/>
                                </a:prstGeom>
                              </pic:spPr>
                            </pic:pic>
                          </a:graphicData>
                        </a:graphic>
                      </wp:inline>
                    </w:drawing>
                  </w:r>
                </w:p>
                <w:p>
                  <w:pPr>
                    <w:pStyle w:val="14"/>
                    <w:widowControl w:val="0"/>
                    <w:jc w:val="center"/>
                    <w:rPr>
                      <w:rFonts w:hint="default"/>
                      <w:color w:val="auto"/>
                      <w:lang w:val="en-US" w:eastAsia="zh-CN"/>
                    </w:rPr>
                  </w:pPr>
                  <w:r>
                    <w:rPr>
                      <w:rFonts w:hint="eastAsia"/>
                      <w:color w:val="auto"/>
                      <w:sz w:val="21"/>
                      <w:szCs w:val="21"/>
                      <w:lang w:val="en-US" w:eastAsia="zh-CN"/>
                    </w:rPr>
                    <w:t>DSA机房内部照片2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Pr>
                <w:p>
                  <w:pPr>
                    <w:widowControl w:val="0"/>
                    <w:jc w:val="both"/>
                    <w:rPr>
                      <w:rFonts w:hint="default"/>
                      <w:color w:val="auto"/>
                      <w:lang w:val="en-US" w:eastAsia="zh-CN"/>
                    </w:rPr>
                  </w:pPr>
                  <w:r>
                    <w:rPr>
                      <w:rFonts w:hint="default"/>
                      <w:color w:val="auto"/>
                      <w:lang w:val="en-US" w:eastAsia="zh-CN"/>
                    </w:rPr>
                    <w:drawing>
                      <wp:inline distT="0" distB="0" distL="114300" distR="114300">
                        <wp:extent cx="2681605" cy="1504950"/>
                        <wp:effectExtent l="0" t="0" r="4445" b="0"/>
                        <wp:docPr id="12" name="图片 12" descr="DSA机房内部照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A机房内部照片3"/>
                                <pic:cNvPicPr>
                                  <a:picLocks noChangeAspect="1"/>
                                </pic:cNvPicPr>
                              </pic:nvPicPr>
                              <pic:blipFill>
                                <a:blip r:embed="rId25"/>
                                <a:stretch>
                                  <a:fillRect/>
                                </a:stretch>
                              </pic:blipFill>
                              <pic:spPr>
                                <a:xfrm>
                                  <a:off x="0" y="0"/>
                                  <a:ext cx="2681605" cy="1504950"/>
                                </a:xfrm>
                                <a:prstGeom prst="rect">
                                  <a:avLst/>
                                </a:prstGeom>
                              </pic:spPr>
                            </pic:pic>
                          </a:graphicData>
                        </a:graphic>
                      </wp:inline>
                    </w:drawing>
                  </w:r>
                </w:p>
                <w:p>
                  <w:pPr>
                    <w:pStyle w:val="14"/>
                    <w:widowControl w:val="0"/>
                    <w:jc w:val="center"/>
                    <w:rPr>
                      <w:rFonts w:hint="default"/>
                      <w:color w:val="auto"/>
                      <w:lang w:val="en-US" w:eastAsia="zh-CN"/>
                    </w:rPr>
                  </w:pPr>
                  <w:r>
                    <w:rPr>
                      <w:rFonts w:hint="eastAsia"/>
                      <w:color w:val="auto"/>
                      <w:sz w:val="21"/>
                      <w:szCs w:val="21"/>
                      <w:lang w:val="en-US" w:eastAsia="zh-CN"/>
                    </w:rPr>
                    <w:t>DSA机房内部照片3</w:t>
                  </w:r>
                </w:p>
              </w:tc>
              <w:tc>
                <w:tcPr>
                  <w:tcW w:w="4474" w:type="dxa"/>
                </w:tcPr>
                <w:p>
                  <w:pPr>
                    <w:widowControl w:val="0"/>
                    <w:jc w:val="both"/>
                    <w:rPr>
                      <w:rFonts w:hint="default"/>
                      <w:color w:val="auto"/>
                      <w:lang w:val="en-US" w:eastAsia="zh-CN"/>
                    </w:rPr>
                  </w:pPr>
                  <w:r>
                    <w:rPr>
                      <w:rFonts w:hint="default"/>
                      <w:color w:val="auto"/>
                      <w:lang w:val="en-US" w:eastAsia="zh-CN"/>
                    </w:rPr>
                    <w:drawing>
                      <wp:inline distT="0" distB="0" distL="114300" distR="114300">
                        <wp:extent cx="2681605" cy="1452245"/>
                        <wp:effectExtent l="0" t="0" r="4445" b="14605"/>
                        <wp:docPr id="13" name="图片 13" descr="DSA机房东侧控制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A机房东侧控制室"/>
                                <pic:cNvPicPr>
                                  <a:picLocks noChangeAspect="1"/>
                                </pic:cNvPicPr>
                              </pic:nvPicPr>
                              <pic:blipFill>
                                <a:blip r:embed="rId26"/>
                                <a:stretch>
                                  <a:fillRect/>
                                </a:stretch>
                              </pic:blipFill>
                              <pic:spPr>
                                <a:xfrm>
                                  <a:off x="0" y="0"/>
                                  <a:ext cx="2681605" cy="1452245"/>
                                </a:xfrm>
                                <a:prstGeom prst="rect">
                                  <a:avLst/>
                                </a:prstGeom>
                              </pic:spPr>
                            </pic:pic>
                          </a:graphicData>
                        </a:graphic>
                      </wp:inline>
                    </w:drawing>
                  </w:r>
                </w:p>
                <w:p>
                  <w:pPr>
                    <w:pStyle w:val="14"/>
                    <w:widowControl w:val="0"/>
                    <w:jc w:val="center"/>
                    <w:rPr>
                      <w:rFonts w:hint="default"/>
                      <w:color w:val="auto"/>
                      <w:lang w:val="en-US" w:eastAsia="zh-CN"/>
                    </w:rPr>
                  </w:pPr>
                  <w:r>
                    <w:rPr>
                      <w:rFonts w:hint="eastAsia"/>
                      <w:color w:val="auto"/>
                      <w:sz w:val="21"/>
                      <w:szCs w:val="21"/>
                      <w:lang w:val="en-US" w:eastAsia="zh-CN"/>
                    </w:rPr>
                    <w:t>DSA机房东侧控制室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Pr>
                <w:p>
                  <w:pPr>
                    <w:widowControl w:val="0"/>
                    <w:jc w:val="both"/>
                    <w:rPr>
                      <w:rFonts w:hint="default"/>
                      <w:color w:val="auto"/>
                      <w:lang w:val="en-US" w:eastAsia="zh-CN"/>
                    </w:rPr>
                  </w:pPr>
                  <w:r>
                    <w:rPr>
                      <w:rFonts w:hint="default"/>
                      <w:color w:val="auto"/>
                      <w:lang w:val="en-US" w:eastAsia="zh-CN"/>
                    </w:rPr>
                    <w:drawing>
                      <wp:inline distT="0" distB="0" distL="114300" distR="114300">
                        <wp:extent cx="2699385" cy="2502535"/>
                        <wp:effectExtent l="0" t="0" r="5715" b="12065"/>
                        <wp:docPr id="37" name="图片 37" descr="DSA机房东侧走廊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SA机房东侧走廊照片"/>
                                <pic:cNvPicPr>
                                  <a:picLocks noChangeAspect="1"/>
                                </pic:cNvPicPr>
                              </pic:nvPicPr>
                              <pic:blipFill>
                                <a:blip r:embed="rId27"/>
                                <a:stretch>
                                  <a:fillRect/>
                                </a:stretch>
                              </pic:blipFill>
                              <pic:spPr>
                                <a:xfrm>
                                  <a:off x="0" y="0"/>
                                  <a:ext cx="2699385" cy="2502535"/>
                                </a:xfrm>
                                <a:prstGeom prst="rect">
                                  <a:avLst/>
                                </a:prstGeom>
                              </pic:spPr>
                            </pic:pic>
                          </a:graphicData>
                        </a:graphic>
                      </wp:inline>
                    </w:drawing>
                  </w:r>
                </w:p>
                <w:p>
                  <w:pPr>
                    <w:pStyle w:val="14"/>
                    <w:widowControl w:val="0"/>
                    <w:jc w:val="center"/>
                    <w:rPr>
                      <w:rFonts w:hint="default"/>
                      <w:color w:val="auto"/>
                      <w:lang w:val="en-US" w:eastAsia="zh-CN"/>
                    </w:rPr>
                  </w:pPr>
                  <w:r>
                    <w:rPr>
                      <w:rFonts w:hint="eastAsia"/>
                      <w:color w:val="auto"/>
                      <w:sz w:val="21"/>
                      <w:szCs w:val="21"/>
                      <w:lang w:val="en-US" w:eastAsia="zh-CN"/>
                    </w:rPr>
                    <w:t>DSA机房东侧走廊</w:t>
                  </w:r>
                </w:p>
              </w:tc>
              <w:tc>
                <w:tcPr>
                  <w:tcW w:w="4474" w:type="dxa"/>
                </w:tcPr>
                <w:p>
                  <w:pPr>
                    <w:pStyle w:val="14"/>
                    <w:widowControl w:val="0"/>
                    <w:jc w:val="center"/>
                    <w:rPr>
                      <w:rFonts w:hint="eastAsia"/>
                      <w:color w:val="auto"/>
                      <w:lang w:val="en-US" w:eastAsia="zh-CN"/>
                    </w:rPr>
                  </w:pPr>
                  <w:r>
                    <w:rPr>
                      <w:rFonts w:hint="default"/>
                      <w:color w:val="auto"/>
                      <w:lang w:val="en-US" w:eastAsia="zh-CN"/>
                    </w:rPr>
                    <w:drawing>
                      <wp:inline distT="0" distB="0" distL="114300" distR="114300">
                        <wp:extent cx="2704465" cy="2493645"/>
                        <wp:effectExtent l="0" t="0" r="635" b="1905"/>
                        <wp:docPr id="35" name="图片 35" descr="北侧CT室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北侧CT室照片"/>
                                <pic:cNvPicPr>
                                  <a:picLocks noChangeAspect="1"/>
                                </pic:cNvPicPr>
                              </pic:nvPicPr>
                              <pic:blipFill>
                                <a:blip r:embed="rId28"/>
                                <a:stretch>
                                  <a:fillRect/>
                                </a:stretch>
                              </pic:blipFill>
                              <pic:spPr>
                                <a:xfrm>
                                  <a:off x="0" y="0"/>
                                  <a:ext cx="2704465" cy="2493645"/>
                                </a:xfrm>
                                <a:prstGeom prst="rect">
                                  <a:avLst/>
                                </a:prstGeom>
                              </pic:spPr>
                            </pic:pic>
                          </a:graphicData>
                        </a:graphic>
                      </wp:inline>
                    </w:drawing>
                  </w:r>
                </w:p>
                <w:p>
                  <w:pPr>
                    <w:widowControl w:val="0"/>
                    <w:jc w:val="center"/>
                    <w:rPr>
                      <w:rFonts w:hint="eastAsia"/>
                      <w:color w:val="auto"/>
                      <w:lang w:val="en-US" w:eastAsia="zh-CN"/>
                    </w:rPr>
                  </w:pPr>
                  <w:r>
                    <w:rPr>
                      <w:rFonts w:hint="eastAsia"/>
                      <w:color w:val="auto"/>
                      <w:sz w:val="21"/>
                      <w:szCs w:val="21"/>
                      <w:lang w:val="en-US" w:eastAsia="zh-CN"/>
                    </w:rPr>
                    <w:t>DSA机房北侧CT室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74" w:type="dxa"/>
                </w:tcPr>
                <w:p>
                  <w:pPr>
                    <w:pStyle w:val="14"/>
                    <w:widowControl w:val="0"/>
                    <w:jc w:val="center"/>
                    <w:rPr>
                      <w:rFonts w:hint="default"/>
                      <w:color w:val="auto"/>
                      <w:lang w:val="en-US" w:eastAsia="zh-CN"/>
                    </w:rPr>
                  </w:pPr>
                  <w:r>
                    <w:rPr>
                      <w:rFonts w:hint="default"/>
                      <w:color w:val="auto"/>
                      <w:lang w:val="en-US" w:eastAsia="zh-CN"/>
                    </w:rPr>
                    <w:drawing>
                      <wp:inline distT="0" distB="0" distL="114300" distR="114300">
                        <wp:extent cx="2699385" cy="2644775"/>
                        <wp:effectExtent l="0" t="0" r="5715" b="3175"/>
                        <wp:docPr id="38" name="图片 38" descr="DSA机房西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SA机房西侧照片"/>
                                <pic:cNvPicPr>
                                  <a:picLocks noChangeAspect="1"/>
                                </pic:cNvPicPr>
                              </pic:nvPicPr>
                              <pic:blipFill>
                                <a:blip r:embed="rId29"/>
                                <a:stretch>
                                  <a:fillRect/>
                                </a:stretch>
                              </pic:blipFill>
                              <pic:spPr>
                                <a:xfrm>
                                  <a:off x="0" y="0"/>
                                  <a:ext cx="2699385" cy="2644775"/>
                                </a:xfrm>
                                <a:prstGeom prst="rect">
                                  <a:avLst/>
                                </a:prstGeom>
                              </pic:spPr>
                            </pic:pic>
                          </a:graphicData>
                        </a:graphic>
                      </wp:inline>
                    </w:drawing>
                  </w:r>
                </w:p>
                <w:p>
                  <w:pPr>
                    <w:widowControl w:val="0"/>
                    <w:jc w:val="center"/>
                    <w:rPr>
                      <w:rFonts w:hint="default"/>
                      <w:color w:val="auto"/>
                      <w:lang w:val="en-US" w:eastAsia="zh-CN"/>
                    </w:rPr>
                  </w:pPr>
                  <w:r>
                    <w:rPr>
                      <w:rFonts w:hint="eastAsia"/>
                      <w:color w:val="auto"/>
                      <w:sz w:val="21"/>
                      <w:szCs w:val="21"/>
                      <w:lang w:val="en-US" w:eastAsia="zh-CN"/>
                    </w:rPr>
                    <w:t>DSA机房西侧</w:t>
                  </w:r>
                </w:p>
              </w:tc>
              <w:tc>
                <w:tcPr>
                  <w:tcW w:w="4474" w:type="dxa"/>
                </w:tcPr>
                <w:p>
                  <w:pPr>
                    <w:widowControl w:val="0"/>
                    <w:jc w:val="both"/>
                    <w:rPr>
                      <w:rFonts w:hint="default"/>
                      <w:color w:val="auto"/>
                      <w:lang w:val="en-US" w:eastAsia="zh-CN"/>
                    </w:rPr>
                  </w:pPr>
                  <w:r>
                    <w:rPr>
                      <w:rFonts w:hint="default"/>
                      <w:color w:val="auto"/>
                      <w:lang w:val="en-US" w:eastAsia="zh-CN"/>
                    </w:rPr>
                    <w:drawing>
                      <wp:inline distT="0" distB="0" distL="114300" distR="114300">
                        <wp:extent cx="2699385" cy="2611755"/>
                        <wp:effectExtent l="0" t="0" r="5715" b="17145"/>
                        <wp:docPr id="27" name="图片 27" descr="DSA机房南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SA机房南侧照片"/>
                                <pic:cNvPicPr>
                                  <a:picLocks noChangeAspect="1"/>
                                </pic:cNvPicPr>
                              </pic:nvPicPr>
                              <pic:blipFill>
                                <a:blip r:embed="rId30"/>
                                <a:stretch>
                                  <a:fillRect/>
                                </a:stretch>
                              </pic:blipFill>
                              <pic:spPr>
                                <a:xfrm>
                                  <a:off x="0" y="0"/>
                                  <a:ext cx="2699385" cy="2611755"/>
                                </a:xfrm>
                                <a:prstGeom prst="rect">
                                  <a:avLst/>
                                </a:prstGeom>
                              </pic:spPr>
                            </pic:pic>
                          </a:graphicData>
                        </a:graphic>
                      </wp:inline>
                    </w:drawing>
                  </w:r>
                </w:p>
                <w:p>
                  <w:pPr>
                    <w:pStyle w:val="14"/>
                    <w:widowControl w:val="0"/>
                    <w:jc w:val="center"/>
                    <w:rPr>
                      <w:rFonts w:hint="default"/>
                      <w:color w:val="auto"/>
                      <w:lang w:val="en-US" w:eastAsia="zh-CN"/>
                    </w:rPr>
                  </w:pPr>
                  <w:r>
                    <w:rPr>
                      <w:rFonts w:hint="eastAsia"/>
                      <w:color w:val="auto"/>
                      <w:sz w:val="21"/>
                      <w:szCs w:val="21"/>
                      <w:lang w:val="en-US" w:eastAsia="zh-CN"/>
                    </w:rPr>
                    <w:t>DSA机房南侧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Pr>
                <w:p>
                  <w:pPr>
                    <w:widowControl w:val="0"/>
                    <w:jc w:val="both"/>
                    <w:rPr>
                      <w:rFonts w:hint="default"/>
                      <w:color w:val="auto"/>
                      <w:lang w:val="en-US" w:eastAsia="zh-CN"/>
                    </w:rPr>
                  </w:pPr>
                  <w:r>
                    <w:rPr>
                      <w:rFonts w:hint="default"/>
                      <w:color w:val="auto"/>
                      <w:lang w:val="en-US" w:eastAsia="zh-CN"/>
                    </w:rPr>
                    <w:drawing>
                      <wp:inline distT="0" distB="0" distL="114300" distR="114300">
                        <wp:extent cx="2699385" cy="2597150"/>
                        <wp:effectExtent l="0" t="0" r="5715" b="12700"/>
                        <wp:docPr id="41" name="图片 41" descr="南侧的污物通道内外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南侧的污物通道内外部1"/>
                                <pic:cNvPicPr>
                                  <a:picLocks noChangeAspect="1"/>
                                </pic:cNvPicPr>
                              </pic:nvPicPr>
                              <pic:blipFill>
                                <a:blip r:embed="rId31"/>
                                <a:stretch>
                                  <a:fillRect/>
                                </a:stretch>
                              </pic:blipFill>
                              <pic:spPr>
                                <a:xfrm>
                                  <a:off x="0" y="0"/>
                                  <a:ext cx="2699385" cy="2597150"/>
                                </a:xfrm>
                                <a:prstGeom prst="rect">
                                  <a:avLst/>
                                </a:prstGeom>
                              </pic:spPr>
                            </pic:pic>
                          </a:graphicData>
                        </a:graphic>
                      </wp:inline>
                    </w:drawing>
                  </w:r>
                </w:p>
                <w:p>
                  <w:pPr>
                    <w:widowControl w:val="0"/>
                    <w:jc w:val="center"/>
                    <w:rPr>
                      <w:rFonts w:hint="default"/>
                      <w:color w:val="auto"/>
                      <w:lang w:val="en-US" w:eastAsia="zh-CN"/>
                    </w:rPr>
                  </w:pPr>
                  <w:r>
                    <w:rPr>
                      <w:rFonts w:hint="default" w:ascii="Times New Roman" w:hAnsi="Times New Roman" w:cs="Times New Roman"/>
                      <w:color w:val="auto"/>
                      <w:sz w:val="21"/>
                      <w:szCs w:val="21"/>
                      <w:lang w:val="en-US" w:eastAsia="zh-CN"/>
                    </w:rPr>
                    <w:t>DSA</w:t>
                  </w:r>
                  <w:r>
                    <w:rPr>
                      <w:rFonts w:hint="eastAsia"/>
                      <w:color w:val="auto"/>
                      <w:sz w:val="21"/>
                      <w:szCs w:val="21"/>
                      <w:lang w:val="en-US" w:eastAsia="zh-CN"/>
                    </w:rPr>
                    <w:t>机房南侧的污物通道内部</w:t>
                  </w:r>
                </w:p>
              </w:tc>
              <w:tc>
                <w:tcPr>
                  <w:tcW w:w="4474" w:type="dxa"/>
                </w:tcPr>
                <w:p>
                  <w:pPr>
                    <w:widowControl w:val="0"/>
                    <w:jc w:val="both"/>
                    <w:rPr>
                      <w:rFonts w:hint="default"/>
                      <w:color w:val="auto"/>
                      <w:lang w:val="en-US" w:eastAsia="zh-CN"/>
                    </w:rPr>
                  </w:pPr>
                  <w:r>
                    <w:rPr>
                      <w:rFonts w:hint="eastAsia"/>
                      <w:color w:val="auto"/>
                      <w:lang w:val="en-US" w:eastAsia="zh-CN"/>
                    </w:rPr>
                    <w:drawing>
                      <wp:inline distT="0" distB="0" distL="114300" distR="114300">
                        <wp:extent cx="2699385" cy="2632075"/>
                        <wp:effectExtent l="0" t="0" r="5715" b="15875"/>
                        <wp:docPr id="28" name="图片 28" descr="南侧的污物通道内外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南侧的污物通道内外部2"/>
                                <pic:cNvPicPr>
                                  <a:picLocks noChangeAspect="1"/>
                                </pic:cNvPicPr>
                              </pic:nvPicPr>
                              <pic:blipFill>
                                <a:blip r:embed="rId32"/>
                                <a:stretch>
                                  <a:fillRect/>
                                </a:stretch>
                              </pic:blipFill>
                              <pic:spPr>
                                <a:xfrm>
                                  <a:off x="0" y="0"/>
                                  <a:ext cx="2699385" cy="2632075"/>
                                </a:xfrm>
                                <a:prstGeom prst="rect">
                                  <a:avLst/>
                                </a:prstGeom>
                              </pic:spPr>
                            </pic:pic>
                          </a:graphicData>
                        </a:graphic>
                      </wp:inline>
                    </w:drawing>
                  </w:r>
                </w:p>
                <w:p>
                  <w:pPr>
                    <w:pStyle w:val="14"/>
                    <w:widowControl w:val="0"/>
                    <w:jc w:val="center"/>
                    <w:rPr>
                      <w:rFonts w:hint="default"/>
                      <w:color w:val="auto"/>
                      <w:lang w:val="en-US" w:eastAsia="zh-CN"/>
                    </w:rPr>
                  </w:pPr>
                  <w:r>
                    <w:rPr>
                      <w:rFonts w:hint="default" w:ascii="Times New Roman" w:hAnsi="Times New Roman" w:cs="Times New Roman"/>
                      <w:color w:val="auto"/>
                      <w:sz w:val="21"/>
                      <w:szCs w:val="21"/>
                      <w:lang w:val="en-US" w:eastAsia="zh-CN"/>
                    </w:rPr>
                    <w:t>DSA</w:t>
                  </w:r>
                  <w:r>
                    <w:rPr>
                      <w:rFonts w:hint="eastAsia"/>
                      <w:color w:val="auto"/>
                      <w:sz w:val="21"/>
                      <w:szCs w:val="21"/>
                      <w:lang w:val="en-US" w:eastAsia="zh-CN"/>
                    </w:rPr>
                    <w:t>机房南侧的污物通道外部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Pr>
                <w:p>
                  <w:pPr>
                    <w:pStyle w:val="14"/>
                    <w:widowControl w:val="0"/>
                    <w:jc w:val="center"/>
                    <w:rPr>
                      <w:rFonts w:hint="default"/>
                      <w:color w:val="auto"/>
                      <w:lang w:val="en-US" w:eastAsia="zh-CN"/>
                    </w:rPr>
                  </w:pPr>
                  <w:r>
                    <w:rPr>
                      <w:rFonts w:hint="default"/>
                      <w:color w:val="auto"/>
                      <w:lang w:val="en-US" w:eastAsia="zh-CN"/>
                    </w:rPr>
                    <w:drawing>
                      <wp:inline distT="0" distB="0" distL="114300" distR="114300">
                        <wp:extent cx="5469255" cy="2807970"/>
                        <wp:effectExtent l="0" t="0" r="17145" b="11430"/>
                        <wp:docPr id="33" name="图片 33" descr="DSA机房楼上胃镜室的储藏间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SA机房楼上胃镜室的储藏间照片"/>
                                <pic:cNvPicPr>
                                  <a:picLocks noChangeAspect="1"/>
                                </pic:cNvPicPr>
                              </pic:nvPicPr>
                              <pic:blipFill>
                                <a:blip r:embed="rId33"/>
                                <a:stretch>
                                  <a:fillRect/>
                                </a:stretch>
                              </pic:blipFill>
                              <pic:spPr>
                                <a:xfrm>
                                  <a:off x="0" y="0"/>
                                  <a:ext cx="5469255" cy="2807970"/>
                                </a:xfrm>
                                <a:prstGeom prst="rect">
                                  <a:avLst/>
                                </a:prstGeom>
                              </pic:spPr>
                            </pic:pic>
                          </a:graphicData>
                        </a:graphic>
                      </wp:inline>
                    </w:drawing>
                  </w:r>
                </w:p>
                <w:p>
                  <w:pPr>
                    <w:widowControl w:val="0"/>
                    <w:jc w:val="center"/>
                    <w:rPr>
                      <w:rFonts w:hint="default"/>
                      <w:color w:val="auto"/>
                      <w:lang w:val="en-US" w:eastAsia="zh-CN"/>
                    </w:rPr>
                  </w:pPr>
                  <w:r>
                    <w:rPr>
                      <w:rFonts w:hint="default" w:ascii="Times New Roman" w:hAnsi="Times New Roman" w:cs="Times New Roman"/>
                      <w:color w:val="auto"/>
                      <w:sz w:val="21"/>
                      <w:szCs w:val="21"/>
                      <w:lang w:val="en-US" w:eastAsia="zh-CN"/>
                    </w:rPr>
                    <w:t>DSA</w:t>
                  </w:r>
                  <w:r>
                    <w:rPr>
                      <w:rFonts w:hint="eastAsia"/>
                      <w:color w:val="auto"/>
                      <w:sz w:val="21"/>
                      <w:szCs w:val="21"/>
                      <w:lang w:val="en-US" w:eastAsia="zh-CN"/>
                    </w:rPr>
                    <w:t>机房楼上胃镜室的储藏间</w:t>
                  </w:r>
                </w:p>
              </w:tc>
              <w:tc>
                <w:tcPr>
                  <w:tcW w:w="4474" w:type="dxa"/>
                </w:tcPr>
                <w:p>
                  <w:pPr>
                    <w:widowControl w:val="0"/>
                    <w:jc w:val="center"/>
                    <w:rPr>
                      <w:rFonts w:hint="eastAsia"/>
                      <w:color w:val="auto"/>
                      <w:lang w:val="en-US" w:eastAsia="zh-CN"/>
                    </w:rPr>
                  </w:pPr>
                  <w:r>
                    <w:rPr>
                      <w:rFonts w:hint="eastAsia"/>
                      <w:color w:val="auto"/>
                      <w:lang w:val="en-US" w:eastAsia="zh-CN"/>
                    </w:rPr>
                    <w:drawing>
                      <wp:inline distT="0" distB="0" distL="114300" distR="114300">
                        <wp:extent cx="2672715" cy="2863850"/>
                        <wp:effectExtent l="0" t="0" r="13335" b="12700"/>
                        <wp:docPr id="30" name="图片 30" descr="个人剂量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个人剂量计"/>
                                <pic:cNvPicPr>
                                  <a:picLocks noChangeAspect="1"/>
                                </pic:cNvPicPr>
                              </pic:nvPicPr>
                              <pic:blipFill>
                                <a:blip r:embed="rId34"/>
                                <a:stretch>
                                  <a:fillRect/>
                                </a:stretch>
                              </pic:blipFill>
                              <pic:spPr>
                                <a:xfrm>
                                  <a:off x="0" y="0"/>
                                  <a:ext cx="2672715" cy="2863850"/>
                                </a:xfrm>
                                <a:prstGeom prst="rect">
                                  <a:avLst/>
                                </a:prstGeom>
                              </pic:spPr>
                            </pic:pic>
                          </a:graphicData>
                        </a:graphic>
                      </wp:inline>
                    </w:drawing>
                  </w:r>
                </w:p>
                <w:p>
                  <w:pPr>
                    <w:pStyle w:val="14"/>
                    <w:widowControl w:val="0"/>
                    <w:jc w:val="center"/>
                    <w:rPr>
                      <w:rFonts w:hint="default"/>
                      <w:color w:val="auto"/>
                      <w:lang w:val="en-US" w:eastAsia="zh-CN"/>
                    </w:rPr>
                  </w:pPr>
                  <w:r>
                    <w:rPr>
                      <w:rFonts w:hint="eastAsia" w:ascii="Times New Roman" w:hAnsi="Times New Roman" w:eastAsia="宋体" w:cs="Times New Roman"/>
                      <w:color w:val="auto"/>
                      <w:kern w:val="2"/>
                      <w:sz w:val="21"/>
                      <w:szCs w:val="21"/>
                      <w:lang w:val="en-US" w:eastAsia="zh-CN" w:bidi="ar-SA"/>
                    </w:rPr>
                    <w:t>个人剂量剂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4474" w:type="dxa"/>
                </w:tcPr>
                <w:p>
                  <w:pPr>
                    <w:pStyle w:val="14"/>
                    <w:widowControl w:val="0"/>
                    <w:jc w:val="center"/>
                    <w:rPr>
                      <w:rFonts w:hint="eastAsia"/>
                      <w:color w:val="auto"/>
                      <w:lang w:val="en-US" w:eastAsia="zh-CN"/>
                    </w:rPr>
                  </w:pPr>
                  <w:r>
                    <w:rPr>
                      <w:rFonts w:hint="eastAsia"/>
                      <w:color w:val="auto"/>
                      <w:lang w:val="en-US" w:eastAsia="zh-CN"/>
                    </w:rPr>
                    <w:drawing>
                      <wp:inline distT="0" distB="0" distL="114300" distR="114300">
                        <wp:extent cx="2631440" cy="1810385"/>
                        <wp:effectExtent l="0" t="0" r="16510" b="18415"/>
                        <wp:docPr id="45" name="图片 45" descr="防护眼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防护眼镜"/>
                                <pic:cNvPicPr>
                                  <a:picLocks noChangeAspect="1"/>
                                </pic:cNvPicPr>
                              </pic:nvPicPr>
                              <pic:blipFill>
                                <a:blip r:embed="rId35"/>
                                <a:stretch>
                                  <a:fillRect/>
                                </a:stretch>
                              </pic:blipFill>
                              <pic:spPr>
                                <a:xfrm>
                                  <a:off x="0" y="0"/>
                                  <a:ext cx="2631440" cy="1810385"/>
                                </a:xfrm>
                                <a:prstGeom prst="rect">
                                  <a:avLst/>
                                </a:prstGeom>
                              </pic:spPr>
                            </pic:pic>
                          </a:graphicData>
                        </a:graphic>
                      </wp:inline>
                    </w:drawing>
                  </w:r>
                </w:p>
                <w:p>
                  <w:pPr>
                    <w:widowControl w:val="0"/>
                    <w:jc w:val="center"/>
                    <w:rPr>
                      <w:rFonts w:hint="eastAsia"/>
                      <w:color w:val="auto"/>
                      <w:lang w:val="en-US" w:eastAsia="zh-CN"/>
                    </w:rPr>
                  </w:pPr>
                  <w:r>
                    <w:rPr>
                      <w:rFonts w:hint="eastAsia"/>
                      <w:color w:val="auto"/>
                      <w:lang w:val="en-US" w:eastAsia="zh-CN"/>
                    </w:rPr>
                    <w:t>防护眼镜</w:t>
                  </w:r>
                </w:p>
              </w:tc>
              <w:tc>
                <w:tcPr>
                  <w:tcW w:w="4474" w:type="dxa"/>
                </w:tcPr>
                <w:p>
                  <w:pPr>
                    <w:widowControl w:val="0"/>
                    <w:jc w:val="center"/>
                    <w:rPr>
                      <w:rFonts w:hint="default"/>
                      <w:color w:val="auto"/>
                      <w:lang w:val="en-US" w:eastAsia="zh-CN"/>
                    </w:rPr>
                  </w:pPr>
                  <w:r>
                    <w:rPr>
                      <w:rFonts w:hint="default"/>
                      <w:color w:val="auto"/>
                      <w:lang w:val="en-US" w:eastAsia="zh-CN"/>
                    </w:rPr>
                    <w:drawing>
                      <wp:inline distT="0" distB="0" distL="114300" distR="114300">
                        <wp:extent cx="2631440" cy="1782445"/>
                        <wp:effectExtent l="0" t="0" r="16510" b="8255"/>
                        <wp:docPr id="44" name="图片 44" descr="铅衣、铅围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铅衣、铅围脖"/>
                                <pic:cNvPicPr>
                                  <a:picLocks noChangeAspect="1"/>
                                </pic:cNvPicPr>
                              </pic:nvPicPr>
                              <pic:blipFill>
                                <a:blip r:embed="rId36"/>
                                <a:stretch>
                                  <a:fillRect/>
                                </a:stretch>
                              </pic:blipFill>
                              <pic:spPr>
                                <a:xfrm>
                                  <a:off x="0" y="0"/>
                                  <a:ext cx="2631440" cy="1782445"/>
                                </a:xfrm>
                                <a:prstGeom prst="rect">
                                  <a:avLst/>
                                </a:prstGeom>
                              </pic:spPr>
                            </pic:pic>
                          </a:graphicData>
                        </a:graphic>
                      </wp:inline>
                    </w:drawing>
                  </w:r>
                </w:p>
                <w:p>
                  <w:pPr>
                    <w:pStyle w:val="14"/>
                    <w:widowControl w:val="0"/>
                    <w:jc w:val="center"/>
                    <w:rPr>
                      <w:rFonts w:hint="default"/>
                      <w:color w:val="auto"/>
                      <w:lang w:val="en-US" w:eastAsia="zh-CN"/>
                    </w:rPr>
                  </w:pPr>
                  <w:r>
                    <w:rPr>
                      <w:rFonts w:hint="eastAsia"/>
                      <w:color w:val="auto"/>
                      <w:sz w:val="21"/>
                      <w:szCs w:val="21"/>
                      <w:lang w:val="en-US" w:eastAsia="zh-CN"/>
                    </w:rPr>
                    <w:t>铅衣、围脖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4474" w:type="dxa"/>
                </w:tcPr>
                <w:p>
                  <w:pPr>
                    <w:pStyle w:val="14"/>
                    <w:widowControl w:val="0"/>
                    <w:jc w:val="center"/>
                    <w:rPr>
                      <w:rFonts w:hint="eastAsia"/>
                      <w:color w:val="auto"/>
                      <w:lang w:val="en-US" w:eastAsia="zh-CN"/>
                    </w:rPr>
                  </w:pPr>
                  <w:r>
                    <w:rPr>
                      <w:rFonts w:hint="eastAsia"/>
                      <w:color w:val="auto"/>
                      <w:lang w:val="en-US" w:eastAsia="zh-CN"/>
                    </w:rPr>
                    <w:drawing>
                      <wp:inline distT="0" distB="0" distL="114300" distR="114300">
                        <wp:extent cx="2698750" cy="2743835"/>
                        <wp:effectExtent l="0" t="0" r="6350" b="18415"/>
                        <wp:docPr id="31" name="图片 31" descr="4aa6a1bffe1d700a38e0cdcd1eba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aa6a1bffe1d700a38e0cdcd1eba173"/>
                                <pic:cNvPicPr>
                                  <a:picLocks noChangeAspect="1"/>
                                </pic:cNvPicPr>
                              </pic:nvPicPr>
                              <pic:blipFill>
                                <a:blip r:embed="rId37"/>
                                <a:stretch>
                                  <a:fillRect/>
                                </a:stretch>
                              </pic:blipFill>
                              <pic:spPr>
                                <a:xfrm>
                                  <a:off x="0" y="0"/>
                                  <a:ext cx="2698750" cy="2743835"/>
                                </a:xfrm>
                                <a:prstGeom prst="rect">
                                  <a:avLst/>
                                </a:prstGeom>
                              </pic:spPr>
                            </pic:pic>
                          </a:graphicData>
                        </a:graphic>
                      </wp:inline>
                    </w:drawing>
                  </w:r>
                </w:p>
                <w:p>
                  <w:pPr>
                    <w:widowControl w:val="0"/>
                    <w:jc w:val="center"/>
                    <w:rPr>
                      <w:rFonts w:hint="default"/>
                      <w:color w:val="auto"/>
                      <w:lang w:val="en-US" w:eastAsia="zh-CN"/>
                    </w:rPr>
                  </w:pPr>
                  <w:r>
                    <w:rPr>
                      <w:rFonts w:hint="eastAsia"/>
                      <w:color w:val="auto"/>
                      <w:lang w:val="en-US" w:eastAsia="zh-CN"/>
                    </w:rPr>
                    <w:t>铅衣当铅量</w:t>
                  </w:r>
                </w:p>
              </w:tc>
              <w:tc>
                <w:tcPr>
                  <w:tcW w:w="4474" w:type="dxa"/>
                </w:tcPr>
                <w:p>
                  <w:pPr>
                    <w:pStyle w:val="14"/>
                    <w:widowControl w:val="0"/>
                    <w:jc w:val="center"/>
                    <w:rPr>
                      <w:rFonts w:hint="eastAsia"/>
                      <w:color w:val="auto"/>
                      <w:lang w:val="en-US" w:eastAsia="zh-CN"/>
                    </w:rPr>
                  </w:pPr>
                  <w:r>
                    <w:rPr>
                      <w:rFonts w:hint="eastAsia"/>
                      <w:color w:val="auto"/>
                      <w:lang w:val="en-US" w:eastAsia="zh-CN"/>
                    </w:rPr>
                    <w:drawing>
                      <wp:inline distT="0" distB="0" distL="114300" distR="114300">
                        <wp:extent cx="2672715" cy="2703830"/>
                        <wp:effectExtent l="0" t="0" r="13335" b="1270"/>
                        <wp:docPr id="32" name="图片 32" descr="铅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铅帽"/>
                                <pic:cNvPicPr>
                                  <a:picLocks noChangeAspect="1"/>
                                </pic:cNvPicPr>
                              </pic:nvPicPr>
                              <pic:blipFill>
                                <a:blip r:embed="rId38"/>
                                <a:stretch>
                                  <a:fillRect/>
                                </a:stretch>
                              </pic:blipFill>
                              <pic:spPr>
                                <a:xfrm>
                                  <a:off x="0" y="0"/>
                                  <a:ext cx="2672715" cy="2703830"/>
                                </a:xfrm>
                                <a:prstGeom prst="rect">
                                  <a:avLst/>
                                </a:prstGeom>
                              </pic:spPr>
                            </pic:pic>
                          </a:graphicData>
                        </a:graphic>
                      </wp:inline>
                    </w:drawing>
                  </w:r>
                </w:p>
                <w:p>
                  <w:pPr>
                    <w:widowControl w:val="0"/>
                    <w:jc w:val="center"/>
                    <w:rPr>
                      <w:rFonts w:hint="eastAsia"/>
                      <w:color w:val="auto"/>
                      <w:lang w:val="en-US" w:eastAsia="zh-CN"/>
                    </w:rPr>
                  </w:pPr>
                  <w:r>
                    <w:rPr>
                      <w:rFonts w:hint="eastAsia"/>
                      <w:color w:val="auto"/>
                      <w:lang w:val="en-US" w:eastAsia="zh-CN"/>
                    </w:rPr>
                    <w:t>铅帽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Pr>
                <w:p>
                  <w:pPr>
                    <w:widowControl w:val="0"/>
                    <w:jc w:val="center"/>
                    <w:rPr>
                      <w:rFonts w:hint="eastAsia"/>
                      <w:color w:val="auto"/>
                      <w:lang w:val="en-US" w:eastAsia="zh-CN"/>
                    </w:rPr>
                  </w:pPr>
                  <w:r>
                    <w:rPr>
                      <w:rFonts w:hint="eastAsia"/>
                      <w:color w:val="auto"/>
                      <w:lang w:val="en-US" w:eastAsia="zh-CN"/>
                    </w:rPr>
                    <w:drawing>
                      <wp:inline distT="0" distB="0" distL="114300" distR="114300">
                        <wp:extent cx="2691130" cy="3060065"/>
                        <wp:effectExtent l="0" t="0" r="13970" b="6985"/>
                        <wp:docPr id="34" name="图片 34" descr="e53055ddd8220d0131b92791864e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53055ddd8220d0131b92791864e5ff"/>
                                <pic:cNvPicPr>
                                  <a:picLocks noChangeAspect="1"/>
                                </pic:cNvPicPr>
                              </pic:nvPicPr>
                              <pic:blipFill>
                                <a:blip r:embed="rId39"/>
                                <a:stretch>
                                  <a:fillRect/>
                                </a:stretch>
                              </pic:blipFill>
                              <pic:spPr>
                                <a:xfrm>
                                  <a:off x="0" y="0"/>
                                  <a:ext cx="2691130" cy="3060065"/>
                                </a:xfrm>
                                <a:prstGeom prst="rect">
                                  <a:avLst/>
                                </a:prstGeom>
                              </pic:spPr>
                            </pic:pic>
                          </a:graphicData>
                        </a:graphic>
                      </wp:inline>
                    </w:drawing>
                  </w:r>
                </w:p>
                <w:p>
                  <w:pPr>
                    <w:widowControl w:val="0"/>
                    <w:jc w:val="center"/>
                    <w:rPr>
                      <w:rFonts w:hint="default"/>
                      <w:color w:val="auto"/>
                      <w:lang w:val="en-US" w:eastAsia="zh-CN"/>
                    </w:rPr>
                  </w:pPr>
                  <w:r>
                    <w:rPr>
                      <w:rFonts w:hint="eastAsia"/>
                      <w:color w:val="auto"/>
                      <w:lang w:val="en-US" w:eastAsia="zh-CN"/>
                    </w:rPr>
                    <w:t>制度上墙</w:t>
                  </w:r>
                </w:p>
              </w:tc>
              <w:tc>
                <w:tcPr>
                  <w:tcW w:w="4474" w:type="dxa"/>
                </w:tcPr>
                <w:p>
                  <w:pPr>
                    <w:pStyle w:val="14"/>
                    <w:widowControl w:val="0"/>
                    <w:jc w:val="center"/>
                    <w:rPr>
                      <w:rFonts w:hint="eastAsia"/>
                      <w:color w:val="auto"/>
                      <w:lang w:val="en-US" w:eastAsia="zh-CN"/>
                    </w:rPr>
                  </w:pPr>
                  <w:r>
                    <w:rPr>
                      <w:rFonts w:hint="eastAsia"/>
                      <w:color w:val="auto"/>
                      <w:lang w:val="en-US" w:eastAsia="zh-CN"/>
                    </w:rPr>
                    <w:drawing>
                      <wp:inline distT="0" distB="0" distL="114300" distR="114300">
                        <wp:extent cx="2699385" cy="3039745"/>
                        <wp:effectExtent l="0" t="0" r="5715" b="8255"/>
                        <wp:docPr id="22" name="图片 22" descr="4bbdfc1d206878b917edf2ac58e7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bbdfc1d206878b917edf2ac58e70f5"/>
                                <pic:cNvPicPr>
                                  <a:picLocks noChangeAspect="1"/>
                                </pic:cNvPicPr>
                              </pic:nvPicPr>
                              <pic:blipFill>
                                <a:blip r:embed="rId40"/>
                                <a:stretch>
                                  <a:fillRect/>
                                </a:stretch>
                              </pic:blipFill>
                              <pic:spPr>
                                <a:xfrm>
                                  <a:off x="0" y="0"/>
                                  <a:ext cx="2699385" cy="3039745"/>
                                </a:xfrm>
                                <a:prstGeom prst="rect">
                                  <a:avLst/>
                                </a:prstGeom>
                              </pic:spPr>
                            </pic:pic>
                          </a:graphicData>
                        </a:graphic>
                      </wp:inline>
                    </w:drawing>
                  </w:r>
                </w:p>
                <w:p>
                  <w:pPr>
                    <w:widowControl w:val="0"/>
                    <w:jc w:val="center"/>
                    <w:rPr>
                      <w:rFonts w:hint="eastAsia"/>
                      <w:color w:val="auto"/>
                      <w:lang w:val="en-US" w:eastAsia="zh-CN"/>
                    </w:rPr>
                  </w:pPr>
                  <w:r>
                    <w:rPr>
                      <w:rFonts w:hint="eastAsia"/>
                      <w:color w:val="auto"/>
                      <w:sz w:val="21"/>
                      <w:szCs w:val="21"/>
                      <w:lang w:val="en-US" w:eastAsia="zh-CN"/>
                    </w:rPr>
                    <w:t>柜式空调通风装置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Pr>
                <w:p>
                  <w:pPr>
                    <w:widowControl w:val="0"/>
                    <w:jc w:val="center"/>
                    <w:rPr>
                      <w:rFonts w:hint="eastAsia"/>
                      <w:color w:val="auto"/>
                      <w:lang w:val="en-US" w:eastAsia="zh-CN"/>
                    </w:rPr>
                  </w:pPr>
                  <w:r>
                    <w:rPr>
                      <w:color w:val="auto"/>
                    </w:rPr>
                    <w:drawing>
                      <wp:inline distT="0" distB="0" distL="114300" distR="114300">
                        <wp:extent cx="2576195" cy="1808480"/>
                        <wp:effectExtent l="0" t="0" r="14605" b="127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41"/>
                                <a:stretch>
                                  <a:fillRect/>
                                </a:stretch>
                              </pic:blipFill>
                              <pic:spPr>
                                <a:xfrm>
                                  <a:off x="0" y="0"/>
                                  <a:ext cx="2576195" cy="1808480"/>
                                </a:xfrm>
                                <a:prstGeom prst="rect">
                                  <a:avLst/>
                                </a:prstGeom>
                                <a:noFill/>
                                <a:ln>
                                  <a:noFill/>
                                </a:ln>
                              </pic:spPr>
                            </pic:pic>
                          </a:graphicData>
                        </a:graphic>
                      </wp:inline>
                    </w:drawing>
                  </w:r>
                </w:p>
                <w:p>
                  <w:pPr>
                    <w:pStyle w:val="14"/>
                    <w:widowControl w:val="0"/>
                    <w:jc w:val="center"/>
                    <w:rPr>
                      <w:rFonts w:hint="eastAsia"/>
                      <w:color w:val="auto"/>
                      <w:lang w:val="en-US" w:eastAsia="zh-CN"/>
                    </w:rPr>
                  </w:pPr>
                  <w:r>
                    <w:rPr>
                      <w:rFonts w:hint="eastAsia" w:cs="宋体"/>
                      <w:color w:val="auto"/>
                      <w:sz w:val="21"/>
                      <w:szCs w:val="21"/>
                      <w:lang w:val="en-US" w:eastAsia="zh-CN"/>
                    </w:rPr>
                    <w:t>防护门及警示标识</w:t>
                  </w:r>
                </w:p>
              </w:tc>
              <w:tc>
                <w:tcPr>
                  <w:tcW w:w="4474" w:type="dxa"/>
                </w:tcPr>
                <w:p>
                  <w:pPr>
                    <w:widowControl w:val="0"/>
                    <w:jc w:val="center"/>
                    <w:rPr>
                      <w:rFonts w:hint="eastAsia"/>
                      <w:color w:val="auto"/>
                      <w:lang w:val="en-US" w:eastAsia="zh-CN"/>
                    </w:rPr>
                  </w:pPr>
                  <w:r>
                    <w:rPr>
                      <w:color w:val="auto"/>
                    </w:rPr>
                    <w:drawing>
                      <wp:inline distT="0" distB="0" distL="114300" distR="114300">
                        <wp:extent cx="2671445" cy="1911985"/>
                        <wp:effectExtent l="0" t="0" r="14605" b="1206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2"/>
                                <a:stretch>
                                  <a:fillRect/>
                                </a:stretch>
                              </pic:blipFill>
                              <pic:spPr>
                                <a:xfrm>
                                  <a:off x="0" y="0"/>
                                  <a:ext cx="2671445" cy="1911985"/>
                                </a:xfrm>
                                <a:prstGeom prst="rect">
                                  <a:avLst/>
                                </a:prstGeom>
                                <a:noFill/>
                                <a:ln>
                                  <a:noFill/>
                                </a:ln>
                              </pic:spPr>
                            </pic:pic>
                          </a:graphicData>
                        </a:graphic>
                      </wp:inline>
                    </w:drawing>
                  </w:r>
                </w:p>
                <w:p>
                  <w:pPr>
                    <w:pStyle w:val="14"/>
                    <w:widowControl w:val="0"/>
                    <w:jc w:val="center"/>
                    <w:rPr>
                      <w:rFonts w:hint="eastAsia"/>
                      <w:color w:val="auto"/>
                      <w:lang w:val="en-US" w:eastAsia="zh-CN"/>
                    </w:rPr>
                  </w:pPr>
                  <w:r>
                    <w:rPr>
                      <w:rFonts w:hint="eastAsia"/>
                      <w:color w:val="auto"/>
                      <w:sz w:val="21"/>
                      <w:szCs w:val="21"/>
                      <w:lang w:val="en-US" w:eastAsia="zh-CN"/>
                    </w:rPr>
                    <w:t>曝光警示灯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Pr>
                <w:p>
                  <w:pPr>
                    <w:pStyle w:val="14"/>
                    <w:widowControl w:val="0"/>
                    <w:jc w:val="both"/>
                    <w:rPr>
                      <w:rFonts w:hint="eastAsia"/>
                      <w:color w:val="auto"/>
                      <w:lang w:val="en-US" w:eastAsia="zh-CN"/>
                    </w:rPr>
                  </w:pPr>
                  <w:r>
                    <w:rPr>
                      <w:rFonts w:hint="eastAsia"/>
                      <w:color w:val="auto"/>
                      <w:lang w:val="en-US" w:eastAsia="zh-CN"/>
                    </w:rPr>
                    <w:drawing>
                      <wp:inline distT="0" distB="0" distL="114300" distR="114300">
                        <wp:extent cx="1813560" cy="1831340"/>
                        <wp:effectExtent l="0" t="0" r="15240" b="16510"/>
                        <wp:docPr id="48" name="图片 48" descr="个人剂量报警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个人剂量报警仪"/>
                                <pic:cNvPicPr>
                                  <a:picLocks noChangeAspect="1"/>
                                </pic:cNvPicPr>
                              </pic:nvPicPr>
                              <pic:blipFill>
                                <a:blip r:embed="rId43"/>
                                <a:stretch>
                                  <a:fillRect/>
                                </a:stretch>
                              </pic:blipFill>
                              <pic:spPr>
                                <a:xfrm>
                                  <a:off x="0" y="0"/>
                                  <a:ext cx="1813560" cy="1831340"/>
                                </a:xfrm>
                                <a:prstGeom prst="rect">
                                  <a:avLst/>
                                </a:prstGeom>
                              </pic:spPr>
                            </pic:pic>
                          </a:graphicData>
                        </a:graphic>
                      </wp:inline>
                    </w:drawing>
                  </w:r>
                </w:p>
                <w:p>
                  <w:pPr>
                    <w:widowControl w:val="0"/>
                    <w:ind w:firstLine="1470" w:firstLineChars="700"/>
                    <w:jc w:val="both"/>
                    <w:rPr>
                      <w:rFonts w:hint="eastAsia"/>
                      <w:color w:val="auto"/>
                      <w:lang w:val="en-US" w:eastAsia="zh-CN"/>
                    </w:rPr>
                  </w:pPr>
                  <w:r>
                    <w:rPr>
                      <w:rFonts w:hint="eastAsia"/>
                      <w:color w:val="auto"/>
                      <w:sz w:val="21"/>
                      <w:szCs w:val="21"/>
                      <w:lang w:val="en-US" w:eastAsia="zh-CN"/>
                    </w:rPr>
                    <w:t>辐射巡测仪</w:t>
                  </w:r>
                </w:p>
              </w:tc>
              <w:tc>
                <w:tcPr>
                  <w:tcW w:w="4474" w:type="dxa"/>
                </w:tcPr>
                <w:p>
                  <w:pPr>
                    <w:pStyle w:val="14"/>
                    <w:widowControl w:val="0"/>
                    <w:jc w:val="both"/>
                    <w:rPr>
                      <w:color w:val="auto"/>
                    </w:rPr>
                  </w:pPr>
                  <w:r>
                    <w:rPr>
                      <w:rFonts w:hint="eastAsia"/>
                      <w:color w:val="auto"/>
                      <w:lang w:val="en-US" w:eastAsia="zh-CN"/>
                    </w:rPr>
                    <w:t xml:space="preserve">      </w:t>
                  </w:r>
                  <w:r>
                    <w:rPr>
                      <w:color w:val="auto"/>
                    </w:rPr>
                    <w:drawing>
                      <wp:inline distT="0" distB="0" distL="114300" distR="114300">
                        <wp:extent cx="1374775" cy="1783715"/>
                        <wp:effectExtent l="0" t="0" r="15875" b="698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44"/>
                                <a:stretch>
                                  <a:fillRect/>
                                </a:stretch>
                              </pic:blipFill>
                              <pic:spPr>
                                <a:xfrm>
                                  <a:off x="0" y="0"/>
                                  <a:ext cx="1374775" cy="1783715"/>
                                </a:xfrm>
                                <a:prstGeom prst="rect">
                                  <a:avLst/>
                                </a:prstGeom>
                                <a:noFill/>
                                <a:ln>
                                  <a:noFill/>
                                </a:ln>
                              </pic:spPr>
                            </pic:pic>
                          </a:graphicData>
                        </a:graphic>
                      </wp:inline>
                    </w:drawing>
                  </w:r>
                </w:p>
                <w:p>
                  <w:pPr>
                    <w:widowControl w:val="0"/>
                    <w:ind w:firstLine="1680" w:firstLineChars="700"/>
                    <w:jc w:val="both"/>
                    <w:rPr>
                      <w:rFonts w:hint="eastAsia"/>
                      <w:color w:val="auto"/>
                      <w:lang w:val="en-US" w:eastAsia="zh-CN"/>
                    </w:rPr>
                  </w:pPr>
                  <w:r>
                    <w:rPr>
                      <w:rFonts w:hint="eastAsia"/>
                      <w:color w:val="auto"/>
                      <w:lang w:eastAsia="zh-CN"/>
                    </w:rPr>
                    <w:t>警示标识</w:t>
                  </w:r>
                </w:p>
              </w:tc>
            </w:tr>
          </w:tbl>
          <w:p>
            <w:pPr>
              <w:spacing w:line="360" w:lineRule="auto"/>
              <w:ind w:right="55" w:rightChars="23"/>
              <w:rPr>
                <w:rFonts w:ascii="Times New Roman" w:hAnsi="Times New Roman" w:cs="Times New Roman"/>
                <w:b/>
                <w:color w:val="auto"/>
                <w:sz w:val="28"/>
                <w:szCs w:val="28"/>
              </w:rPr>
            </w:pPr>
          </w:p>
        </w:tc>
      </w:tr>
    </w:tbl>
    <w:p>
      <w:pPr>
        <w:rPr>
          <w:color w:val="auto"/>
        </w:rPr>
      </w:pPr>
    </w:p>
    <w:p>
      <w:pPr>
        <w:rPr>
          <w:color w:val="auto"/>
        </w:rPr>
      </w:pPr>
    </w:p>
    <w:p>
      <w:pPr>
        <w:pStyle w:val="4"/>
        <w:spacing w:line="360" w:lineRule="auto"/>
        <w:jc w:val="center"/>
        <w:rPr>
          <w:rFonts w:ascii="仿宋" w:hAnsi="仿宋" w:eastAsia="仿宋"/>
          <w:color w:val="auto"/>
          <w:sz w:val="28"/>
          <w:szCs w:val="28"/>
        </w:rPr>
      </w:pPr>
      <w:bookmarkStart w:id="19" w:name="_Toc61439308"/>
      <w:r>
        <w:rPr>
          <w:rFonts w:hint="eastAsia" w:ascii="仿宋" w:hAnsi="仿宋" w:eastAsia="仿宋"/>
          <w:color w:val="auto"/>
          <w:sz w:val="28"/>
          <w:szCs w:val="28"/>
        </w:rPr>
        <w:t>表四  环境影响报告表主要结论及审批部门审批决定</w:t>
      </w:r>
      <w:bookmarkEnd w:id="19"/>
    </w:p>
    <w:tbl>
      <w:tblPr>
        <w:tblStyle w:val="39"/>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tcPr>
          <w:p>
            <w:pPr>
              <w:pStyle w:val="3"/>
              <w:widowControl w:val="0"/>
              <w:numPr>
                <w:ilvl w:val="0"/>
                <w:numId w:val="0"/>
              </w:numPr>
              <w:ind w:leftChars="0"/>
              <w:jc w:val="both"/>
              <w:outlineLvl w:val="0"/>
              <w:rPr>
                <w:color w:val="auto"/>
                <w:szCs w:val="28"/>
              </w:rPr>
            </w:pPr>
            <w:bookmarkStart w:id="20" w:name="_Toc61439309"/>
            <w:r>
              <w:rPr>
                <w:rFonts w:hint="eastAsia"/>
                <w:color w:val="auto"/>
                <w:szCs w:val="28"/>
                <w:lang w:eastAsia="zh-CN"/>
              </w:rPr>
              <w:t>一、</w:t>
            </w:r>
            <w:r>
              <w:rPr>
                <w:rFonts w:hint="eastAsia"/>
                <w:color w:val="auto"/>
                <w:szCs w:val="28"/>
              </w:rPr>
              <w:t>环境影响报告表主要结论</w:t>
            </w:r>
            <w:bookmarkEnd w:id="20"/>
          </w:p>
          <w:p>
            <w:pPr>
              <w:widowControl w:val="0"/>
              <w:spacing w:line="360" w:lineRule="auto"/>
              <w:ind w:firstLine="480" w:firstLineChars="200"/>
              <w:jc w:val="both"/>
              <w:rPr>
                <w:b/>
                <w:bCs/>
                <w:color w:val="auto"/>
                <w:sz w:val="24"/>
                <w:szCs w:val="24"/>
              </w:rPr>
            </w:pPr>
            <w:r>
              <w:rPr>
                <w:b/>
                <w:bCs/>
                <w:color w:val="auto"/>
                <w:sz w:val="24"/>
                <w:szCs w:val="24"/>
              </w:rPr>
              <w:t>1、辐射安全与防护分析结论</w:t>
            </w:r>
          </w:p>
          <w:p>
            <w:pPr>
              <w:widowControl w:val="0"/>
              <w:spacing w:line="360" w:lineRule="auto"/>
              <w:ind w:firstLine="480" w:firstLineChars="200"/>
              <w:jc w:val="both"/>
              <w:rPr>
                <w:color w:val="auto"/>
                <w:sz w:val="24"/>
                <w:szCs w:val="24"/>
              </w:rPr>
            </w:pPr>
            <w:r>
              <w:rPr>
                <w:color w:val="auto"/>
                <w:sz w:val="24"/>
                <w:szCs w:val="24"/>
              </w:rPr>
              <w:t>（1）防护能力分析</w:t>
            </w:r>
          </w:p>
          <w:p>
            <w:pPr>
              <w:widowControl w:val="0"/>
              <w:spacing w:line="360" w:lineRule="auto"/>
              <w:ind w:firstLine="480" w:firstLineChars="200"/>
              <w:jc w:val="both"/>
              <w:rPr>
                <w:color w:val="auto"/>
                <w:sz w:val="24"/>
                <w:szCs w:val="24"/>
              </w:rPr>
            </w:pPr>
            <w:bookmarkStart w:id="21" w:name="OLE_LINK62"/>
            <w:r>
              <w:rPr>
                <w:rFonts w:hint="eastAsia"/>
                <w:color w:val="auto"/>
                <w:kern w:val="0"/>
                <w:sz w:val="24"/>
                <w:szCs w:val="24"/>
                <w:lang w:eastAsia="zh-CN"/>
              </w:rPr>
              <w:t>安庆市石化</w:t>
            </w:r>
            <w:r>
              <w:rPr>
                <w:color w:val="auto"/>
                <w:sz w:val="24"/>
                <w:szCs w:val="24"/>
              </w:rPr>
              <w:t>医院</w:t>
            </w:r>
            <w:bookmarkEnd w:id="21"/>
            <w:r>
              <w:rPr>
                <w:rFonts w:hint="eastAsia"/>
                <w:color w:val="auto"/>
                <w:sz w:val="24"/>
                <w:szCs w:val="24"/>
                <w:lang w:val="en-US" w:eastAsia="zh-CN"/>
              </w:rPr>
              <w:t>DSA扫描间位于医院</w:t>
            </w:r>
            <w:r>
              <w:rPr>
                <w:rFonts w:hint="eastAsia"/>
                <w:color w:val="auto"/>
                <w:sz w:val="24"/>
                <w:szCs w:val="24"/>
                <w:lang w:eastAsia="zh-CN"/>
              </w:rPr>
              <w:t>影像中</w:t>
            </w:r>
            <w:r>
              <w:rPr>
                <w:rFonts w:hint="eastAsia"/>
                <w:color w:val="auto"/>
                <w:sz w:val="24"/>
                <w:szCs w:val="24"/>
                <w:lang w:val="en-US" w:eastAsia="zh-CN"/>
              </w:rPr>
              <w:t>心</w:t>
            </w:r>
            <w:r>
              <w:rPr>
                <w:rFonts w:hint="eastAsia"/>
                <w:color w:val="auto"/>
                <w:sz w:val="24"/>
                <w:szCs w:val="24"/>
                <w:lang w:eastAsia="zh-CN"/>
              </w:rPr>
              <w:t>南侧，</w:t>
            </w:r>
            <w:r>
              <w:rPr>
                <w:rFonts w:hint="eastAsia"/>
                <w:color w:val="auto"/>
                <w:sz w:val="24"/>
                <w:szCs w:val="24"/>
                <w:lang w:val="en-US" w:eastAsia="zh-CN"/>
              </w:rPr>
              <w:t>扫描间</w:t>
            </w:r>
            <w:r>
              <w:rPr>
                <w:rFonts w:hint="eastAsia"/>
                <w:color w:val="auto"/>
                <w:sz w:val="24"/>
                <w:szCs w:val="24"/>
                <w:lang w:eastAsia="zh-CN"/>
              </w:rPr>
              <w:t>四面墙体为</w:t>
            </w:r>
            <w:r>
              <w:rPr>
                <w:rFonts w:hint="eastAsia"/>
                <w:color w:val="auto"/>
                <w:sz w:val="24"/>
                <w:szCs w:val="24"/>
                <w:lang w:val="en-US" w:eastAsia="zh-CN"/>
              </w:rPr>
              <w:t>240</w:t>
            </w:r>
            <w:r>
              <w:rPr>
                <w:rFonts w:hint="eastAsia"/>
                <w:color w:val="auto"/>
                <w:sz w:val="24"/>
                <w:szCs w:val="24"/>
              </w:rPr>
              <w:t>mm</w:t>
            </w:r>
            <w:r>
              <w:rPr>
                <w:rFonts w:hint="eastAsia"/>
                <w:color w:val="auto"/>
                <w:sz w:val="24"/>
                <w:szCs w:val="24"/>
                <w:lang w:eastAsia="zh-CN"/>
              </w:rPr>
              <w:t>实心红砖墙</w:t>
            </w:r>
            <w:r>
              <w:rPr>
                <w:rFonts w:hint="eastAsia"/>
                <w:color w:val="auto"/>
                <w:sz w:val="24"/>
                <w:szCs w:val="24"/>
                <w:lang w:val="en-US" w:eastAsia="zh-CN"/>
              </w:rPr>
              <w:t>+2</w:t>
            </w:r>
            <w:r>
              <w:rPr>
                <w:color w:val="auto"/>
                <w:sz w:val="24"/>
                <w:szCs w:val="24"/>
              </w:rPr>
              <w:t>mm</w:t>
            </w:r>
            <w:r>
              <w:rPr>
                <w:rFonts w:hint="eastAsia"/>
                <w:color w:val="auto"/>
                <w:sz w:val="24"/>
                <w:szCs w:val="24"/>
                <w:lang w:val="en-US" w:eastAsia="zh-CN"/>
              </w:rPr>
              <w:t>Pb</w:t>
            </w:r>
            <w:r>
              <w:rPr>
                <w:rFonts w:hint="eastAsia"/>
                <w:color w:val="auto"/>
                <w:sz w:val="24"/>
                <w:szCs w:val="24"/>
                <w:lang w:eastAsia="zh-CN"/>
              </w:rPr>
              <w:t>硫酸钡水泥；</w:t>
            </w:r>
            <w:r>
              <w:rPr>
                <w:rFonts w:hint="eastAsia"/>
                <w:color w:val="auto"/>
                <w:sz w:val="24"/>
                <w:szCs w:val="24"/>
              </w:rPr>
              <w:t>顶</w:t>
            </w:r>
            <w:r>
              <w:rPr>
                <w:rFonts w:hint="eastAsia"/>
                <w:color w:val="auto"/>
                <w:sz w:val="24"/>
                <w:szCs w:val="24"/>
                <w:lang w:eastAsia="zh-CN"/>
              </w:rPr>
              <w:t>面</w:t>
            </w:r>
            <w:r>
              <w:rPr>
                <w:rFonts w:hint="eastAsia"/>
                <w:color w:val="auto"/>
                <w:sz w:val="24"/>
                <w:szCs w:val="24"/>
                <w:lang w:val="en-US" w:eastAsia="zh-CN"/>
              </w:rPr>
              <w:t>为20</w:t>
            </w:r>
            <w:r>
              <w:rPr>
                <w:rFonts w:hint="eastAsia"/>
                <w:color w:val="auto"/>
                <w:sz w:val="24"/>
                <w:szCs w:val="24"/>
              </w:rPr>
              <w:t>0mm厚混凝土+</w:t>
            </w:r>
            <w:r>
              <w:rPr>
                <w:rFonts w:hint="eastAsia"/>
                <w:color w:val="auto"/>
                <w:sz w:val="24"/>
                <w:szCs w:val="24"/>
                <w:lang w:val="en-US" w:eastAsia="zh-CN"/>
              </w:rPr>
              <w:t>2</w:t>
            </w:r>
            <w:r>
              <w:rPr>
                <w:color w:val="auto"/>
                <w:sz w:val="24"/>
                <w:szCs w:val="24"/>
              </w:rPr>
              <w:t>mm</w:t>
            </w:r>
            <w:r>
              <w:rPr>
                <w:rFonts w:hint="eastAsia"/>
                <w:color w:val="auto"/>
                <w:sz w:val="24"/>
                <w:szCs w:val="24"/>
                <w:lang w:val="en-US" w:eastAsia="zh-CN"/>
              </w:rPr>
              <w:t>Pb</w:t>
            </w:r>
            <w:r>
              <w:rPr>
                <w:rFonts w:hint="eastAsia"/>
                <w:color w:val="auto"/>
                <w:sz w:val="24"/>
                <w:szCs w:val="24"/>
                <w:lang w:eastAsia="zh-CN"/>
              </w:rPr>
              <w:t>硫酸钡水泥；地板</w:t>
            </w:r>
            <w:r>
              <w:rPr>
                <w:rFonts w:hint="eastAsia"/>
                <w:color w:val="auto"/>
                <w:sz w:val="24"/>
                <w:szCs w:val="24"/>
                <w:lang w:val="en-US" w:eastAsia="zh-CN"/>
              </w:rPr>
              <w:t>面贴有瓷砖</w:t>
            </w:r>
            <w:r>
              <w:rPr>
                <w:rFonts w:hint="eastAsia"/>
                <w:color w:val="auto"/>
                <w:sz w:val="24"/>
                <w:szCs w:val="24"/>
                <w:lang w:eastAsia="zh-CN"/>
              </w:rPr>
              <w:t>；</w:t>
            </w:r>
            <w:r>
              <w:rPr>
                <w:color w:val="auto"/>
                <w:sz w:val="24"/>
                <w:szCs w:val="24"/>
              </w:rPr>
              <w:t>观察窗采用</w:t>
            </w:r>
            <w:r>
              <w:rPr>
                <w:rFonts w:hint="eastAsia"/>
                <w:color w:val="auto"/>
                <w:sz w:val="24"/>
                <w:szCs w:val="24"/>
                <w:lang w:val="en-US" w:eastAsia="zh-CN"/>
              </w:rPr>
              <w:t>4</w:t>
            </w:r>
            <w:r>
              <w:rPr>
                <w:color w:val="auto"/>
                <w:sz w:val="24"/>
                <w:szCs w:val="24"/>
              </w:rPr>
              <w:t>mm</w:t>
            </w:r>
            <w:r>
              <w:rPr>
                <w:rFonts w:hint="eastAsia"/>
                <w:color w:val="auto"/>
                <w:sz w:val="24"/>
                <w:szCs w:val="24"/>
                <w:lang w:val="en-US" w:eastAsia="zh-CN"/>
              </w:rPr>
              <w:t>Pb</w:t>
            </w:r>
            <w:r>
              <w:rPr>
                <w:color w:val="auto"/>
                <w:sz w:val="24"/>
                <w:szCs w:val="24"/>
              </w:rPr>
              <w:t>铅玻璃</w:t>
            </w:r>
            <w:r>
              <w:rPr>
                <w:rFonts w:hint="eastAsia"/>
                <w:color w:val="auto"/>
                <w:sz w:val="24"/>
                <w:szCs w:val="24"/>
              </w:rPr>
              <w:t>观察窗</w:t>
            </w:r>
            <w:r>
              <w:rPr>
                <w:rFonts w:hint="eastAsia"/>
                <w:color w:val="auto"/>
                <w:sz w:val="24"/>
                <w:szCs w:val="24"/>
                <w:lang w:eastAsia="zh-CN"/>
              </w:rPr>
              <w:t>；</w:t>
            </w:r>
            <w:r>
              <w:rPr>
                <w:color w:val="auto"/>
                <w:sz w:val="24"/>
                <w:szCs w:val="24"/>
              </w:rPr>
              <w:t>防护门</w:t>
            </w:r>
            <w:r>
              <w:rPr>
                <w:rFonts w:hint="eastAsia"/>
                <w:color w:val="auto"/>
                <w:sz w:val="24"/>
                <w:szCs w:val="24"/>
                <w:lang w:val="en-US" w:eastAsia="zh-CN"/>
              </w:rPr>
              <w:t>共3扇（病人通道防护门、医生通道防护门、污物通道防护门），均</w:t>
            </w:r>
            <w:r>
              <w:rPr>
                <w:color w:val="auto"/>
                <w:sz w:val="24"/>
                <w:szCs w:val="24"/>
              </w:rPr>
              <w:t>采用</w:t>
            </w:r>
            <w:r>
              <w:rPr>
                <w:rFonts w:hint="eastAsia"/>
                <w:color w:val="auto"/>
                <w:sz w:val="24"/>
                <w:szCs w:val="24"/>
                <w:lang w:val="en-US" w:eastAsia="zh-CN"/>
              </w:rPr>
              <w:t>4.0</w:t>
            </w:r>
            <w:r>
              <w:rPr>
                <w:color w:val="auto"/>
                <w:sz w:val="24"/>
                <w:szCs w:val="24"/>
              </w:rPr>
              <w:t>mm</w:t>
            </w:r>
            <w:r>
              <w:rPr>
                <w:rFonts w:hint="eastAsia"/>
                <w:color w:val="auto"/>
                <w:sz w:val="24"/>
                <w:szCs w:val="24"/>
                <w:lang w:val="en-US" w:eastAsia="zh-CN"/>
              </w:rPr>
              <w:t>铅板+不锈钢板覆面（不锈钢板2.5</w:t>
            </w:r>
            <w:r>
              <w:rPr>
                <w:color w:val="auto"/>
                <w:sz w:val="24"/>
                <w:szCs w:val="24"/>
              </w:rPr>
              <w:t>mm</w:t>
            </w:r>
            <w:r>
              <w:rPr>
                <w:rFonts w:hint="eastAsia"/>
                <w:color w:val="auto"/>
                <w:sz w:val="24"/>
                <w:szCs w:val="24"/>
                <w:lang w:eastAsia="zh-CN"/>
              </w:rPr>
              <w:t>）</w:t>
            </w:r>
            <w:r>
              <w:rPr>
                <w:rFonts w:hint="eastAsia"/>
                <w:color w:val="auto"/>
                <w:sz w:val="24"/>
                <w:szCs w:val="24"/>
                <w:lang w:val="en-US" w:eastAsia="zh-CN"/>
              </w:rPr>
              <w:t>；</w:t>
            </w:r>
            <w:r>
              <w:rPr>
                <w:rFonts w:hint="eastAsia" w:ascii="宋体" w:hAnsi="宋体" w:eastAsia="宋体" w:cs="宋体"/>
                <w:color w:val="auto"/>
                <w:sz w:val="24"/>
                <w:szCs w:val="24"/>
                <w:lang w:val="en-US" w:eastAsia="zh-CN"/>
              </w:rPr>
              <w:t>配有铅方巾、铅橡胶帽、铅橡胶围脖、铅防护眼镜、铅手套等医护人员防护用品，医务工作人员均配备了个人剂量计；均</w:t>
            </w:r>
            <w:r>
              <w:rPr>
                <w:color w:val="auto"/>
                <w:sz w:val="24"/>
                <w:szCs w:val="24"/>
              </w:rPr>
              <w:t>符合《</w:t>
            </w:r>
            <w:r>
              <w:rPr>
                <w:rFonts w:hint="eastAsia"/>
                <w:color w:val="auto"/>
                <w:sz w:val="24"/>
                <w:szCs w:val="24"/>
                <w:lang w:val="en-US" w:eastAsia="zh-CN"/>
              </w:rPr>
              <w:t>放射</w:t>
            </w:r>
            <w:r>
              <w:rPr>
                <w:color w:val="auto"/>
                <w:sz w:val="24"/>
                <w:szCs w:val="24"/>
              </w:rPr>
              <w:t>诊断</w:t>
            </w:r>
            <w:r>
              <w:rPr>
                <w:rFonts w:hint="eastAsia"/>
                <w:color w:val="auto"/>
                <w:sz w:val="24"/>
                <w:szCs w:val="24"/>
                <w:lang w:val="en-US" w:eastAsia="zh-CN"/>
              </w:rPr>
              <w:t>放射</w:t>
            </w:r>
            <w:r>
              <w:rPr>
                <w:color w:val="auto"/>
                <w:sz w:val="24"/>
                <w:szCs w:val="24"/>
              </w:rPr>
              <w:t>防护</w:t>
            </w:r>
            <w:r>
              <w:rPr>
                <w:rFonts w:hint="eastAsia"/>
                <w:color w:val="auto"/>
                <w:sz w:val="24"/>
                <w:szCs w:val="24"/>
                <w:lang w:val="en-US" w:eastAsia="zh-CN"/>
              </w:rPr>
              <w:t>要求</w:t>
            </w:r>
            <w:r>
              <w:rPr>
                <w:color w:val="auto"/>
                <w:sz w:val="24"/>
                <w:szCs w:val="24"/>
              </w:rPr>
              <w:t>》（GBZ</w:t>
            </w:r>
            <w:r>
              <w:rPr>
                <w:rFonts w:hint="eastAsia"/>
                <w:color w:val="auto"/>
                <w:sz w:val="24"/>
                <w:szCs w:val="24"/>
                <w:lang w:val="en-US" w:eastAsia="zh-CN"/>
              </w:rPr>
              <w:t xml:space="preserve"> </w:t>
            </w:r>
            <w:r>
              <w:rPr>
                <w:color w:val="auto"/>
                <w:sz w:val="24"/>
                <w:szCs w:val="24"/>
              </w:rPr>
              <w:t>130-20</w:t>
            </w:r>
            <w:r>
              <w:rPr>
                <w:rFonts w:hint="eastAsia"/>
                <w:color w:val="auto"/>
                <w:sz w:val="24"/>
                <w:szCs w:val="24"/>
                <w:lang w:val="en-US" w:eastAsia="zh-CN"/>
              </w:rPr>
              <w:t>20</w:t>
            </w:r>
            <w:r>
              <w:rPr>
                <w:color w:val="auto"/>
                <w:sz w:val="24"/>
                <w:szCs w:val="24"/>
              </w:rPr>
              <w:t>）中标准值的要求。</w:t>
            </w:r>
          </w:p>
          <w:p>
            <w:pPr>
              <w:widowControl w:val="0"/>
              <w:spacing w:line="360" w:lineRule="auto"/>
              <w:ind w:firstLine="480" w:firstLineChars="200"/>
              <w:jc w:val="both"/>
              <w:rPr>
                <w:rFonts w:hint="eastAsia"/>
                <w:color w:val="auto"/>
                <w:sz w:val="24"/>
                <w:szCs w:val="24"/>
              </w:rPr>
            </w:pPr>
            <w:r>
              <w:rPr>
                <w:rFonts w:hint="eastAsia"/>
                <w:color w:val="auto"/>
                <w:sz w:val="24"/>
                <w:szCs w:val="24"/>
              </w:rPr>
              <w:t>（2）辐射安全管理</w:t>
            </w:r>
          </w:p>
          <w:p>
            <w:pPr>
              <w:widowControl w:val="0"/>
              <w:spacing w:line="360" w:lineRule="auto"/>
              <w:ind w:firstLine="480" w:firstLineChars="200"/>
              <w:jc w:val="both"/>
              <w:rPr>
                <w:rFonts w:hint="eastAsia"/>
                <w:color w:val="auto"/>
                <w:sz w:val="24"/>
                <w:szCs w:val="24"/>
              </w:rPr>
            </w:pPr>
            <w:r>
              <w:rPr>
                <w:rFonts w:hint="eastAsia"/>
                <w:color w:val="auto"/>
                <w:sz w:val="24"/>
                <w:szCs w:val="24"/>
                <w:lang w:eastAsia="zh-CN"/>
              </w:rPr>
              <w:t>安庆市石化医院</w:t>
            </w:r>
            <w:r>
              <w:rPr>
                <w:rFonts w:hint="eastAsia"/>
                <w:color w:val="auto"/>
                <w:sz w:val="24"/>
                <w:szCs w:val="24"/>
              </w:rPr>
              <w:t>成立了以</w:t>
            </w:r>
            <w:r>
              <w:rPr>
                <w:rFonts w:hint="eastAsia"/>
                <w:color w:val="auto"/>
                <w:sz w:val="24"/>
                <w:szCs w:val="24"/>
                <w:lang w:val="en-US" w:eastAsia="zh-CN"/>
              </w:rPr>
              <w:t>分管院长</w:t>
            </w:r>
            <w:r>
              <w:rPr>
                <w:rFonts w:hint="eastAsia"/>
                <w:color w:val="auto"/>
                <w:sz w:val="24"/>
                <w:szCs w:val="24"/>
              </w:rPr>
              <w:t>为组长的辐射安全与环境保护管理领导小组，统筹领导全院辐射防护与安全的管理工作，医院制定的各项管理制度基本满足国家相关的管理及技术层面要求，射线装置机房严格按照国家相关法律法规以及技术规范制定</w:t>
            </w:r>
            <w:r>
              <w:rPr>
                <w:rFonts w:hint="eastAsia"/>
                <w:color w:val="auto"/>
                <w:sz w:val="24"/>
                <w:szCs w:val="24"/>
                <w:lang w:eastAsia="zh-CN"/>
              </w:rPr>
              <w:t>了</w:t>
            </w:r>
            <w:r>
              <w:rPr>
                <w:rFonts w:hint="eastAsia"/>
                <w:color w:val="auto"/>
                <w:sz w:val="24"/>
                <w:szCs w:val="24"/>
              </w:rPr>
              <w:t>管理制度，完善环评提出的要求后，符合《放射性同位素与射线装置安全许可管理办法》各项要求。</w:t>
            </w:r>
          </w:p>
          <w:p>
            <w:pPr>
              <w:widowControl w:val="0"/>
              <w:spacing w:line="360" w:lineRule="auto"/>
              <w:ind w:firstLine="480" w:firstLineChars="200"/>
              <w:jc w:val="both"/>
              <w:rPr>
                <w:rFonts w:hint="eastAsia"/>
                <w:color w:val="auto"/>
                <w:sz w:val="24"/>
                <w:szCs w:val="24"/>
              </w:rPr>
            </w:pPr>
            <w:r>
              <w:rPr>
                <w:rFonts w:hint="eastAsia"/>
                <w:color w:val="auto"/>
                <w:sz w:val="24"/>
                <w:szCs w:val="24"/>
              </w:rPr>
              <w:t>（3）辐射环境现状评价</w:t>
            </w:r>
          </w:p>
          <w:p>
            <w:pPr>
              <w:widowControl w:val="0"/>
              <w:spacing w:line="360" w:lineRule="auto"/>
              <w:ind w:firstLine="480" w:firstLineChars="200"/>
              <w:jc w:val="both"/>
              <w:rPr>
                <w:color w:val="auto"/>
                <w:sz w:val="24"/>
                <w:szCs w:val="24"/>
              </w:rPr>
            </w:pPr>
            <w:r>
              <w:rPr>
                <w:rFonts w:hint="eastAsia"/>
                <w:snapToGrid w:val="0"/>
                <w:color w:val="auto"/>
                <w:sz w:val="24"/>
              </w:rPr>
              <w:t>医院</w:t>
            </w:r>
            <w:r>
              <w:rPr>
                <w:snapToGrid w:val="0"/>
                <w:color w:val="auto"/>
                <w:sz w:val="24"/>
              </w:rPr>
              <w:t>室外γ辐射空气吸收剂量率与安徽省天然贯穿辐射水平相当，无异常</w:t>
            </w:r>
            <w:r>
              <w:rPr>
                <w:color w:val="auto"/>
                <w:sz w:val="24"/>
                <w:szCs w:val="24"/>
              </w:rPr>
              <w:t>。</w:t>
            </w:r>
          </w:p>
          <w:p>
            <w:pPr>
              <w:widowControl w:val="0"/>
              <w:spacing w:line="360" w:lineRule="auto"/>
              <w:ind w:firstLine="480" w:firstLineChars="200"/>
              <w:jc w:val="both"/>
              <w:rPr>
                <w:b/>
                <w:bCs/>
                <w:color w:val="auto"/>
                <w:sz w:val="24"/>
                <w:szCs w:val="24"/>
              </w:rPr>
            </w:pPr>
            <w:r>
              <w:rPr>
                <w:b/>
                <w:bCs/>
                <w:color w:val="auto"/>
                <w:kern w:val="0"/>
                <w:sz w:val="24"/>
                <w:szCs w:val="24"/>
              </w:rPr>
              <w:t>2、</w:t>
            </w:r>
            <w:r>
              <w:rPr>
                <w:b/>
                <w:bCs/>
                <w:color w:val="auto"/>
                <w:sz w:val="24"/>
                <w:szCs w:val="24"/>
              </w:rPr>
              <w:t>环境影响分析结论</w:t>
            </w:r>
          </w:p>
          <w:p>
            <w:pPr>
              <w:widowControl w:val="0"/>
              <w:spacing w:line="360" w:lineRule="auto"/>
              <w:ind w:firstLine="480" w:firstLineChars="200"/>
              <w:jc w:val="both"/>
              <w:rPr>
                <w:color w:val="auto"/>
                <w:kern w:val="0"/>
                <w:sz w:val="24"/>
                <w:szCs w:val="24"/>
              </w:rPr>
            </w:pPr>
            <w:r>
              <w:rPr>
                <w:rFonts w:hint="eastAsia"/>
                <w:snapToGrid w:val="0"/>
                <w:color w:val="auto"/>
                <w:sz w:val="24"/>
                <w:szCs w:val="24"/>
                <w:lang w:eastAsia="zh-CN"/>
              </w:rPr>
              <w:t>根据</w:t>
            </w:r>
            <w:r>
              <w:rPr>
                <w:rFonts w:hint="eastAsia"/>
                <w:snapToGrid w:val="0"/>
                <w:color w:val="auto"/>
                <w:sz w:val="24"/>
                <w:szCs w:val="24"/>
              </w:rPr>
              <w:t>监测结果，</w:t>
            </w:r>
            <w:r>
              <w:rPr>
                <w:snapToGrid w:val="0"/>
                <w:color w:val="auto"/>
                <w:sz w:val="24"/>
                <w:szCs w:val="24"/>
              </w:rPr>
              <w:t>本项目</w:t>
            </w:r>
            <w:r>
              <w:rPr>
                <w:rFonts w:hint="eastAsia"/>
                <w:snapToGrid w:val="0"/>
                <w:color w:val="auto"/>
                <w:sz w:val="24"/>
                <w:szCs w:val="24"/>
                <w:lang w:val="en-US" w:eastAsia="zh-CN"/>
              </w:rPr>
              <w:t>DSA</w:t>
            </w:r>
            <w:r>
              <w:rPr>
                <w:rFonts w:hint="eastAsia"/>
                <w:snapToGrid w:val="0"/>
                <w:color w:val="auto"/>
                <w:sz w:val="24"/>
                <w:szCs w:val="24"/>
              </w:rPr>
              <w:t>运行期间</w:t>
            </w:r>
            <w:r>
              <w:rPr>
                <w:snapToGrid w:val="0"/>
                <w:color w:val="auto"/>
                <w:sz w:val="24"/>
                <w:szCs w:val="24"/>
              </w:rPr>
              <w:t>周围环境辐射水平能够满足《电离辐射防护与辐射源安全基本标准》（GB18871-2002）以及《</w:t>
            </w:r>
            <w:r>
              <w:rPr>
                <w:rFonts w:hint="eastAsia"/>
                <w:snapToGrid w:val="0"/>
                <w:color w:val="auto"/>
                <w:sz w:val="24"/>
                <w:szCs w:val="24"/>
                <w:lang w:val="en-US" w:eastAsia="zh-CN"/>
              </w:rPr>
              <w:t>放射</w:t>
            </w:r>
            <w:r>
              <w:rPr>
                <w:snapToGrid w:val="0"/>
                <w:color w:val="auto"/>
                <w:sz w:val="24"/>
                <w:szCs w:val="24"/>
              </w:rPr>
              <w:t>诊断放射防护要求》（GBZ</w:t>
            </w:r>
            <w:r>
              <w:rPr>
                <w:rFonts w:hint="eastAsia"/>
                <w:snapToGrid w:val="0"/>
                <w:color w:val="auto"/>
                <w:sz w:val="24"/>
                <w:szCs w:val="24"/>
                <w:lang w:val="en-US" w:eastAsia="zh-CN"/>
              </w:rPr>
              <w:t xml:space="preserve">  </w:t>
            </w:r>
            <w:r>
              <w:rPr>
                <w:snapToGrid w:val="0"/>
                <w:color w:val="auto"/>
                <w:sz w:val="24"/>
                <w:szCs w:val="24"/>
              </w:rPr>
              <w:t>130-20</w:t>
            </w:r>
            <w:r>
              <w:rPr>
                <w:rFonts w:hint="eastAsia"/>
                <w:snapToGrid w:val="0"/>
                <w:color w:val="auto"/>
                <w:sz w:val="24"/>
                <w:szCs w:val="24"/>
                <w:lang w:val="en-US" w:eastAsia="zh-CN"/>
              </w:rPr>
              <w:t>20</w:t>
            </w:r>
            <w:r>
              <w:rPr>
                <w:snapToGrid w:val="0"/>
                <w:color w:val="auto"/>
                <w:sz w:val="24"/>
                <w:szCs w:val="24"/>
              </w:rPr>
              <w:t>）中</w:t>
            </w:r>
            <w:r>
              <w:rPr>
                <w:rFonts w:hint="eastAsia"/>
                <w:snapToGrid w:val="0"/>
                <w:color w:val="auto"/>
                <w:sz w:val="24"/>
                <w:szCs w:val="24"/>
                <w:lang w:eastAsia="zh-CN"/>
              </w:rPr>
              <w:t>“</w:t>
            </w:r>
            <w:r>
              <w:rPr>
                <w:snapToGrid w:val="0"/>
                <w:color w:val="auto"/>
                <w:sz w:val="24"/>
                <w:szCs w:val="24"/>
              </w:rPr>
              <w:t>机房外的周围剂量当量剂量约束值控制目标值应不大于2.5μ</w:t>
            </w:r>
            <w:r>
              <w:rPr>
                <w:rFonts w:hint="eastAsia"/>
                <w:snapToGrid w:val="0"/>
                <w:color w:val="auto"/>
                <w:sz w:val="24"/>
                <w:szCs w:val="24"/>
              </w:rPr>
              <w:t>Sv</w:t>
            </w:r>
            <w:r>
              <w:rPr>
                <w:snapToGrid w:val="0"/>
                <w:color w:val="auto"/>
                <w:sz w:val="24"/>
                <w:szCs w:val="24"/>
              </w:rPr>
              <w:t>/h</w:t>
            </w:r>
            <w:r>
              <w:rPr>
                <w:rFonts w:hint="eastAsia"/>
                <w:snapToGrid w:val="0"/>
                <w:color w:val="auto"/>
                <w:sz w:val="24"/>
                <w:szCs w:val="24"/>
                <w:lang w:eastAsia="zh-CN"/>
              </w:rPr>
              <w:t>”</w:t>
            </w:r>
            <w:r>
              <w:rPr>
                <w:color w:val="auto"/>
                <w:kern w:val="0"/>
                <w:sz w:val="24"/>
                <w:szCs w:val="24"/>
              </w:rPr>
              <w:t>的要求。</w:t>
            </w:r>
          </w:p>
          <w:p>
            <w:pPr>
              <w:widowControl w:val="0"/>
              <w:spacing w:line="360" w:lineRule="auto"/>
              <w:ind w:firstLine="480" w:firstLineChars="200"/>
              <w:jc w:val="both"/>
              <w:rPr>
                <w:rFonts w:hAnsi="宋体"/>
                <w:snapToGrid w:val="0"/>
                <w:color w:val="auto"/>
                <w:kern w:val="0"/>
                <w:sz w:val="24"/>
              </w:rPr>
            </w:pPr>
            <w:r>
              <w:rPr>
                <w:rFonts w:hint="eastAsia" w:hAnsi="宋体"/>
                <w:snapToGrid w:val="0"/>
                <w:color w:val="auto"/>
                <w:kern w:val="0"/>
                <w:sz w:val="24"/>
              </w:rPr>
              <w:t>根据</w:t>
            </w:r>
            <w:r>
              <w:rPr>
                <w:rFonts w:hint="eastAsia" w:hAnsi="宋体"/>
                <w:snapToGrid w:val="0"/>
                <w:color w:val="auto"/>
                <w:kern w:val="0"/>
                <w:sz w:val="24"/>
                <w:lang w:eastAsia="zh-CN"/>
              </w:rPr>
              <w:t>监测</w:t>
            </w:r>
            <w:r>
              <w:rPr>
                <w:rFonts w:hint="eastAsia" w:hAnsi="宋体"/>
                <w:snapToGrid w:val="0"/>
                <w:color w:val="auto"/>
                <w:kern w:val="0"/>
                <w:sz w:val="24"/>
              </w:rPr>
              <w:t>结果</w:t>
            </w:r>
            <w:r>
              <w:rPr>
                <w:rFonts w:hint="eastAsia" w:hAnsi="宋体"/>
                <w:snapToGrid w:val="0"/>
                <w:color w:val="auto"/>
                <w:kern w:val="0"/>
                <w:sz w:val="24"/>
                <w:lang w:eastAsia="zh-CN"/>
              </w:rPr>
              <w:t>和理论计算分析</w:t>
            </w:r>
            <w:r>
              <w:rPr>
                <w:rFonts w:hint="eastAsia" w:hAnsi="宋体"/>
                <w:snapToGrid w:val="0"/>
                <w:color w:val="auto"/>
                <w:kern w:val="0"/>
                <w:sz w:val="24"/>
              </w:rPr>
              <w:t>，本项目对辐射工作人员及周边的公众产生的年有效剂量均能够满足《电离辐射防护与辐射源安全基本标准》(GB18871-2002)中对职业人员和公众受照剂量限值要求以及本项目的目标管理值要求：</w:t>
            </w:r>
            <w:r>
              <w:rPr>
                <w:rFonts w:hint="eastAsia" w:hAnsi="宋体"/>
                <w:snapToGrid w:val="0"/>
                <w:color w:val="auto"/>
                <w:kern w:val="0"/>
                <w:sz w:val="24"/>
                <w:lang w:eastAsia="zh-CN"/>
              </w:rPr>
              <w:t>介入工作</w:t>
            </w:r>
            <w:r>
              <w:rPr>
                <w:rFonts w:hint="eastAsia" w:hAnsi="宋体"/>
                <w:snapToGrid w:val="0"/>
                <w:color w:val="auto"/>
                <w:kern w:val="0"/>
                <w:sz w:val="24"/>
              </w:rPr>
              <w:t>人员年有效剂量不超过10mSv，</w:t>
            </w:r>
            <w:r>
              <w:rPr>
                <w:rFonts w:hint="eastAsia" w:hAnsi="宋体"/>
                <w:snapToGrid w:val="0"/>
                <w:color w:val="auto"/>
                <w:kern w:val="0"/>
                <w:sz w:val="24"/>
                <w:lang w:eastAsia="zh-CN"/>
              </w:rPr>
              <w:t>辐射工作人员</w:t>
            </w:r>
            <w:r>
              <w:rPr>
                <w:rFonts w:hint="eastAsia" w:hAnsi="宋体"/>
                <w:snapToGrid w:val="0"/>
                <w:color w:val="auto"/>
                <w:kern w:val="0"/>
                <w:sz w:val="24"/>
              </w:rPr>
              <w:t>年有效剂量不超过</w:t>
            </w:r>
            <w:r>
              <w:rPr>
                <w:rFonts w:hint="eastAsia" w:hAnsi="宋体"/>
                <w:snapToGrid w:val="0"/>
                <w:color w:val="auto"/>
                <w:kern w:val="0"/>
                <w:sz w:val="24"/>
                <w:lang w:val="en-US" w:eastAsia="zh-CN"/>
              </w:rPr>
              <w:t>5</w:t>
            </w:r>
            <w:r>
              <w:rPr>
                <w:rFonts w:hint="eastAsia" w:hAnsi="宋体"/>
                <w:snapToGrid w:val="0"/>
                <w:color w:val="auto"/>
                <w:kern w:val="0"/>
                <w:sz w:val="24"/>
              </w:rPr>
              <w:t>mSv</w:t>
            </w:r>
            <w:r>
              <w:rPr>
                <w:rFonts w:hint="eastAsia" w:hAnsi="宋体"/>
                <w:snapToGrid w:val="0"/>
                <w:color w:val="auto"/>
                <w:kern w:val="0"/>
                <w:sz w:val="24"/>
                <w:lang w:eastAsia="zh-CN"/>
              </w:rPr>
              <w:t>，</w:t>
            </w:r>
            <w:r>
              <w:rPr>
                <w:rFonts w:hint="eastAsia" w:hAnsi="宋体"/>
                <w:snapToGrid w:val="0"/>
                <w:color w:val="auto"/>
                <w:kern w:val="0"/>
                <w:sz w:val="24"/>
              </w:rPr>
              <w:t>公众年有效剂量不超过0.25mSv。</w:t>
            </w:r>
          </w:p>
          <w:p>
            <w:pPr>
              <w:widowControl w:val="0"/>
              <w:spacing w:line="360" w:lineRule="auto"/>
              <w:ind w:firstLine="480" w:firstLineChars="200"/>
              <w:jc w:val="both"/>
              <w:rPr>
                <w:snapToGrid w:val="0"/>
                <w:color w:val="auto"/>
                <w:sz w:val="24"/>
                <w:szCs w:val="24"/>
              </w:rPr>
            </w:pPr>
            <w:r>
              <w:rPr>
                <w:color w:val="auto"/>
                <w:sz w:val="24"/>
                <w:szCs w:val="24"/>
              </w:rPr>
              <w:t>本项目运行时</w:t>
            </w:r>
            <w:r>
              <w:rPr>
                <w:rFonts w:hint="eastAsia"/>
                <w:color w:val="auto"/>
                <w:sz w:val="24"/>
                <w:szCs w:val="24"/>
              </w:rPr>
              <w:t>产生的少量废气、废水、</w:t>
            </w:r>
            <w:r>
              <w:rPr>
                <w:rFonts w:hint="eastAsia"/>
                <w:color w:val="auto"/>
                <w:sz w:val="24"/>
                <w:szCs w:val="24"/>
                <w:lang w:eastAsia="zh-CN"/>
              </w:rPr>
              <w:t>噪声、</w:t>
            </w:r>
            <w:r>
              <w:rPr>
                <w:rFonts w:hint="eastAsia"/>
                <w:color w:val="auto"/>
                <w:sz w:val="24"/>
                <w:szCs w:val="24"/>
              </w:rPr>
              <w:t>生活垃圾和医疗垃圾，均得到妥善处置，对外环境影响很小。</w:t>
            </w:r>
          </w:p>
          <w:p>
            <w:pPr>
              <w:widowControl w:val="0"/>
              <w:spacing w:line="360" w:lineRule="auto"/>
              <w:ind w:firstLine="480" w:firstLineChars="200"/>
              <w:jc w:val="both"/>
              <w:rPr>
                <w:b/>
                <w:bCs/>
                <w:color w:val="auto"/>
                <w:sz w:val="24"/>
                <w:szCs w:val="24"/>
              </w:rPr>
            </w:pPr>
            <w:r>
              <w:rPr>
                <w:b/>
                <w:bCs/>
                <w:color w:val="auto"/>
                <w:sz w:val="24"/>
                <w:szCs w:val="24"/>
              </w:rPr>
              <w:t>3、可行性分析结论</w:t>
            </w:r>
          </w:p>
          <w:p>
            <w:pPr>
              <w:widowControl w:val="0"/>
              <w:spacing w:line="360" w:lineRule="auto"/>
              <w:ind w:firstLine="480" w:firstLineChars="200"/>
              <w:jc w:val="both"/>
              <w:rPr>
                <w:color w:val="auto"/>
                <w:sz w:val="24"/>
                <w:szCs w:val="24"/>
              </w:rPr>
            </w:pPr>
            <w:r>
              <w:rPr>
                <w:color w:val="auto"/>
                <w:sz w:val="24"/>
                <w:szCs w:val="24"/>
              </w:rPr>
              <w:t>（1）与产业政策符合性</w:t>
            </w:r>
          </w:p>
          <w:p>
            <w:pPr>
              <w:widowControl w:val="0"/>
              <w:spacing w:line="360" w:lineRule="auto"/>
              <w:ind w:firstLine="480" w:firstLineChars="200"/>
              <w:jc w:val="both"/>
              <w:rPr>
                <w:color w:val="auto"/>
                <w:sz w:val="24"/>
                <w:szCs w:val="24"/>
              </w:rPr>
            </w:pPr>
            <w:r>
              <w:rPr>
                <w:color w:val="auto"/>
                <w:sz w:val="24"/>
              </w:rPr>
              <w:t>介入治疗全程在影像设备的引导和监视下进行，能够准确地直接到达病变局部，同时又没有大的创伤，因此具有准确、安全、高效、适应症广、并发症少等优点，现已成为一些疾病的首选治疗方法。本项目</w:t>
            </w:r>
            <w:r>
              <w:rPr>
                <w:rFonts w:hint="eastAsia"/>
                <w:color w:val="auto"/>
                <w:sz w:val="24"/>
              </w:rPr>
              <w:t>属于《</w:t>
            </w:r>
            <w:r>
              <w:rPr>
                <w:color w:val="auto"/>
                <w:sz w:val="24"/>
              </w:rPr>
              <w:t>国家产业结构调整指导目录（20</w:t>
            </w:r>
            <w:r>
              <w:rPr>
                <w:rFonts w:hint="eastAsia"/>
                <w:color w:val="auto"/>
                <w:sz w:val="24"/>
              </w:rPr>
              <w:t>11</w:t>
            </w:r>
            <w:r>
              <w:rPr>
                <w:color w:val="auto"/>
                <w:sz w:val="24"/>
              </w:rPr>
              <w:t>年本）</w:t>
            </w:r>
            <w:r>
              <w:rPr>
                <w:rFonts w:hint="eastAsia"/>
                <w:color w:val="auto"/>
                <w:sz w:val="24"/>
              </w:rPr>
              <w:t>（2013年修订）》</w:t>
            </w:r>
            <w:r>
              <w:rPr>
                <w:color w:val="auto"/>
                <w:sz w:val="24"/>
              </w:rPr>
              <w:t>中</w:t>
            </w:r>
            <w:r>
              <w:rPr>
                <w:rFonts w:hint="eastAsia"/>
                <w:color w:val="auto"/>
                <w:sz w:val="24"/>
              </w:rPr>
              <w:t>“鼓励类”第十三项“医药”中第</w:t>
            </w:r>
            <w:r>
              <w:rPr>
                <w:rFonts w:hint="eastAsia"/>
                <w:color w:val="auto"/>
                <w:sz w:val="24"/>
                <w:lang w:val="en-US" w:eastAsia="zh-CN"/>
              </w:rPr>
              <w:t>5</w:t>
            </w:r>
            <w:r>
              <w:rPr>
                <w:rFonts w:hint="eastAsia"/>
                <w:color w:val="auto"/>
                <w:sz w:val="24"/>
              </w:rPr>
              <w:t>条“</w:t>
            </w:r>
            <w:r>
              <w:rPr>
                <w:rFonts w:hint="eastAsia"/>
                <w:color w:val="auto"/>
                <w:sz w:val="24"/>
                <w:lang w:val="en-US" w:eastAsia="zh-CN"/>
              </w:rPr>
              <w:t>新型医用诊断设备和试剂、数字化医学影像设备等的技术应用</w:t>
            </w:r>
            <w:r>
              <w:rPr>
                <w:rFonts w:hint="eastAsia"/>
                <w:color w:val="auto"/>
                <w:sz w:val="24"/>
              </w:rPr>
              <w:t>”</w:t>
            </w:r>
            <w:r>
              <w:rPr>
                <w:color w:val="auto"/>
                <w:sz w:val="24"/>
              </w:rPr>
              <w:t>，本项目建设符合国家产业政策</w:t>
            </w:r>
            <w:r>
              <w:rPr>
                <w:color w:val="auto"/>
                <w:sz w:val="24"/>
                <w:szCs w:val="24"/>
              </w:rPr>
              <w:t>。</w:t>
            </w:r>
          </w:p>
          <w:p>
            <w:pPr>
              <w:widowControl w:val="0"/>
              <w:spacing w:line="360" w:lineRule="auto"/>
              <w:ind w:firstLine="480" w:firstLineChars="200"/>
              <w:jc w:val="both"/>
              <w:rPr>
                <w:color w:val="auto"/>
                <w:sz w:val="24"/>
                <w:szCs w:val="24"/>
              </w:rPr>
            </w:pPr>
            <w:r>
              <w:rPr>
                <w:color w:val="auto"/>
                <w:sz w:val="24"/>
                <w:szCs w:val="24"/>
              </w:rPr>
              <w:t>（2）选址可行性分析</w:t>
            </w:r>
          </w:p>
          <w:p>
            <w:pPr>
              <w:widowControl w:val="0"/>
              <w:spacing w:line="360" w:lineRule="auto"/>
              <w:ind w:firstLine="480" w:firstLineChars="200"/>
              <w:jc w:val="both"/>
              <w:rPr>
                <w:color w:val="auto"/>
                <w:sz w:val="24"/>
                <w:szCs w:val="24"/>
              </w:rPr>
            </w:pPr>
            <w:r>
              <w:rPr>
                <w:color w:val="auto"/>
                <w:sz w:val="24"/>
                <w:szCs w:val="24"/>
              </w:rPr>
              <w:t>按照《电离辐射防护与辐射源安全基本标准》（GB18871-2002）关于“源的选址与定位”规定，国家只对“具有大量放射性物质和可能造成这些放射性物质大量释放的源”应考虑场址特征的规定，对其它源的选址未作明文规定。通过分析可知，本项目在正常运行和事故工况下，均不会造成大量放射性物质的释放。因此，对这类医用核技术应用选址国家未加明确限制。</w:t>
            </w:r>
          </w:p>
          <w:p>
            <w:pPr>
              <w:pStyle w:val="14"/>
              <w:widowControl w:val="0"/>
              <w:spacing w:line="360" w:lineRule="auto"/>
              <w:jc w:val="both"/>
              <w:rPr>
                <w:rFonts w:hint="default" w:eastAsia="宋体"/>
                <w:color w:val="auto"/>
                <w:lang w:val="en-US" w:eastAsia="zh-CN"/>
              </w:rPr>
            </w:pPr>
            <w:r>
              <w:rPr>
                <w:rFonts w:hint="eastAsia"/>
                <w:color w:val="auto"/>
                <w:sz w:val="24"/>
                <w:szCs w:val="24"/>
                <w:lang w:val="en-US" w:eastAsia="zh-CN"/>
              </w:rPr>
              <w:t xml:space="preserve">   本项目选址不在生态红线范围内。</w:t>
            </w:r>
          </w:p>
          <w:p>
            <w:pPr>
              <w:widowControl w:val="0"/>
              <w:spacing w:line="360" w:lineRule="auto"/>
              <w:ind w:firstLine="480" w:firstLineChars="200"/>
              <w:jc w:val="both"/>
              <w:rPr>
                <w:color w:val="auto"/>
                <w:sz w:val="24"/>
                <w:szCs w:val="24"/>
              </w:rPr>
            </w:pPr>
            <w:r>
              <w:rPr>
                <w:rFonts w:hint="eastAsia"/>
                <w:color w:val="auto"/>
                <w:sz w:val="24"/>
                <w:szCs w:val="24"/>
                <w:lang w:eastAsia="zh-CN"/>
              </w:rPr>
              <w:t>根据监测结果，通过</w:t>
            </w:r>
            <w:r>
              <w:rPr>
                <w:color w:val="auto"/>
                <w:sz w:val="24"/>
                <w:szCs w:val="24"/>
              </w:rPr>
              <w:t>环评预测，本项目周围相关公众所受的年剂量当量</w:t>
            </w:r>
            <w:r>
              <w:rPr>
                <w:snapToGrid w:val="0"/>
                <w:color w:val="auto"/>
                <w:sz w:val="24"/>
                <w:szCs w:val="24"/>
              </w:rPr>
              <w:t>符合本项目对于公众照射0.25mSv的剂量限值约束值，因此本项目选址可行。</w:t>
            </w:r>
          </w:p>
          <w:p>
            <w:pPr>
              <w:widowControl w:val="0"/>
              <w:spacing w:line="360" w:lineRule="auto"/>
              <w:ind w:firstLine="480" w:firstLineChars="200"/>
              <w:jc w:val="both"/>
              <w:rPr>
                <w:color w:val="auto"/>
                <w:sz w:val="24"/>
                <w:szCs w:val="24"/>
              </w:rPr>
            </w:pPr>
            <w:r>
              <w:rPr>
                <w:color w:val="auto"/>
                <w:sz w:val="24"/>
                <w:szCs w:val="24"/>
              </w:rPr>
              <w:t>（</w:t>
            </w:r>
            <w:r>
              <w:rPr>
                <w:rFonts w:hint="eastAsia"/>
                <w:color w:val="auto"/>
                <w:sz w:val="24"/>
                <w:szCs w:val="24"/>
              </w:rPr>
              <w:t>3</w:t>
            </w:r>
            <w:r>
              <w:rPr>
                <w:color w:val="auto"/>
                <w:sz w:val="24"/>
                <w:szCs w:val="24"/>
              </w:rPr>
              <w:t xml:space="preserve">）代价利益分析 </w:t>
            </w:r>
          </w:p>
          <w:p>
            <w:pPr>
              <w:widowControl w:val="0"/>
              <w:autoSpaceDE w:val="0"/>
              <w:autoSpaceDN w:val="0"/>
              <w:adjustRightInd w:val="0"/>
              <w:spacing w:line="360" w:lineRule="auto"/>
              <w:ind w:firstLine="480" w:firstLineChars="200"/>
              <w:jc w:val="both"/>
              <w:rPr>
                <w:color w:val="auto"/>
                <w:kern w:val="0"/>
                <w:sz w:val="24"/>
                <w:szCs w:val="24"/>
              </w:rPr>
            </w:pPr>
            <w:r>
              <w:rPr>
                <w:rFonts w:hint="eastAsia"/>
                <w:color w:val="auto"/>
                <w:kern w:val="0"/>
                <w:sz w:val="24"/>
                <w:szCs w:val="24"/>
                <w:lang w:val="en-US" w:eastAsia="zh-CN"/>
              </w:rPr>
              <w:t>DSA</w:t>
            </w:r>
            <w:r>
              <w:rPr>
                <w:color w:val="auto"/>
                <w:kern w:val="0"/>
                <w:sz w:val="24"/>
                <w:szCs w:val="24"/>
              </w:rPr>
              <w:t xml:space="preserve">是计算机与常规血管造影相结合的一种检查方法，是集电视技术、影像增强、数字电子学、计算机技术、图像处理技术多种科技手段于一体的系统。 </w:t>
            </w:r>
            <w:r>
              <w:rPr>
                <w:rFonts w:hint="eastAsia"/>
                <w:color w:val="auto"/>
                <w:kern w:val="0"/>
                <w:sz w:val="24"/>
                <w:szCs w:val="24"/>
                <w:lang w:val="en-US" w:eastAsia="zh-CN"/>
              </w:rPr>
              <w:t>DSA</w:t>
            </w:r>
            <w:r>
              <w:rPr>
                <w:color w:val="auto"/>
                <w:kern w:val="0"/>
                <w:sz w:val="24"/>
                <w:szCs w:val="24"/>
              </w:rPr>
              <w:t>主要采用时间减影法，即将造影剂未达到欲检部位前摄取的蒙片与造影剂注入后摄取的造影片在计算机中进行数字相减处理，仅显示有造影剂充盈的结构，具有高精密度和灵敏度。</w:t>
            </w:r>
          </w:p>
          <w:p>
            <w:pPr>
              <w:widowControl w:val="0"/>
              <w:spacing w:line="360" w:lineRule="auto"/>
              <w:ind w:firstLine="480" w:firstLineChars="200"/>
              <w:jc w:val="both"/>
              <w:rPr>
                <w:color w:val="auto"/>
                <w:kern w:val="0"/>
                <w:sz w:val="24"/>
                <w:szCs w:val="24"/>
              </w:rPr>
            </w:pPr>
            <w:r>
              <w:rPr>
                <w:rFonts w:hint="eastAsia"/>
                <w:color w:val="auto"/>
                <w:kern w:val="0"/>
                <w:sz w:val="24"/>
                <w:szCs w:val="24"/>
                <w:lang w:val="en-US" w:eastAsia="zh-CN"/>
              </w:rPr>
              <w:t>DSA</w:t>
            </w:r>
            <w:r>
              <w:rPr>
                <w:color w:val="auto"/>
                <w:kern w:val="0"/>
                <w:sz w:val="24"/>
                <w:szCs w:val="24"/>
              </w:rPr>
              <w:t>技术是先进的医疗诊断技术，</w:t>
            </w:r>
            <w:r>
              <w:rPr>
                <w:rFonts w:hint="eastAsia"/>
                <w:color w:val="auto"/>
                <w:kern w:val="0"/>
                <w:sz w:val="24"/>
                <w:szCs w:val="24"/>
                <w:lang w:eastAsia="zh-CN"/>
              </w:rPr>
              <w:t>安庆市石化医院</w:t>
            </w:r>
            <w:r>
              <w:rPr>
                <w:color w:val="auto"/>
                <w:kern w:val="0"/>
                <w:sz w:val="24"/>
                <w:szCs w:val="24"/>
              </w:rPr>
              <w:t>开展</w:t>
            </w:r>
            <w:bookmarkStart w:id="22" w:name="OLE_LINK67"/>
            <w:r>
              <w:rPr>
                <w:rFonts w:hint="eastAsia"/>
                <w:color w:val="auto"/>
                <w:kern w:val="0"/>
                <w:sz w:val="24"/>
                <w:szCs w:val="24"/>
                <w:lang w:eastAsia="zh-CN"/>
              </w:rPr>
              <w:t>的</w:t>
            </w:r>
            <w:r>
              <w:rPr>
                <w:rFonts w:hint="eastAsia"/>
                <w:color w:val="auto"/>
                <w:kern w:val="0"/>
                <w:sz w:val="24"/>
                <w:szCs w:val="24"/>
                <w:lang w:val="en-US" w:eastAsia="zh-CN"/>
              </w:rPr>
              <w:t>DSA介入治疗</w:t>
            </w:r>
            <w:r>
              <w:rPr>
                <w:color w:val="auto"/>
                <w:kern w:val="0"/>
                <w:sz w:val="24"/>
                <w:szCs w:val="24"/>
              </w:rPr>
              <w:t>工作</w:t>
            </w:r>
            <w:bookmarkEnd w:id="22"/>
            <w:r>
              <w:rPr>
                <w:color w:val="auto"/>
                <w:kern w:val="0"/>
                <w:sz w:val="24"/>
                <w:szCs w:val="24"/>
              </w:rPr>
              <w:t>是医院自身医疗技术的提升，也是造福</w:t>
            </w:r>
            <w:r>
              <w:rPr>
                <w:rFonts w:hint="eastAsia"/>
                <w:color w:val="auto"/>
                <w:kern w:val="0"/>
                <w:sz w:val="24"/>
                <w:szCs w:val="24"/>
                <w:lang w:eastAsia="zh-CN"/>
              </w:rPr>
              <w:t>安庆市</w:t>
            </w:r>
            <w:r>
              <w:rPr>
                <w:color w:val="auto"/>
                <w:kern w:val="0"/>
                <w:sz w:val="24"/>
                <w:szCs w:val="24"/>
              </w:rPr>
              <w:t>人民群众的福利工程。因此，</w:t>
            </w:r>
            <w:r>
              <w:rPr>
                <w:rFonts w:hint="eastAsia"/>
                <w:color w:val="auto"/>
                <w:kern w:val="0"/>
                <w:sz w:val="24"/>
                <w:szCs w:val="24"/>
                <w:lang w:eastAsia="zh-CN"/>
              </w:rPr>
              <w:t>本</w:t>
            </w:r>
            <w:r>
              <w:rPr>
                <w:color w:val="auto"/>
                <w:kern w:val="0"/>
                <w:sz w:val="24"/>
                <w:szCs w:val="24"/>
              </w:rPr>
              <w:t>项目</w:t>
            </w:r>
            <w:r>
              <w:rPr>
                <w:rFonts w:hint="eastAsia"/>
                <w:color w:val="auto"/>
                <w:kern w:val="0"/>
                <w:sz w:val="24"/>
                <w:szCs w:val="24"/>
                <w:lang w:eastAsia="zh-CN"/>
              </w:rPr>
              <w:t>的</w:t>
            </w:r>
            <w:r>
              <w:rPr>
                <w:color w:val="auto"/>
                <w:kern w:val="0"/>
                <w:sz w:val="24"/>
                <w:szCs w:val="24"/>
              </w:rPr>
              <w:t>开展实际收益利益大于代价。</w:t>
            </w:r>
          </w:p>
          <w:p>
            <w:pPr>
              <w:widowControl w:val="0"/>
              <w:spacing w:line="360" w:lineRule="auto"/>
              <w:ind w:firstLine="480" w:firstLineChars="200"/>
              <w:jc w:val="both"/>
              <w:rPr>
                <w:rFonts w:hint="eastAsia"/>
                <w:color w:val="auto"/>
                <w:sz w:val="24"/>
                <w:szCs w:val="24"/>
              </w:rPr>
            </w:pPr>
            <w:r>
              <w:rPr>
                <w:rFonts w:hint="eastAsia"/>
                <w:color w:val="auto"/>
                <w:sz w:val="24"/>
                <w:szCs w:val="24"/>
              </w:rPr>
              <w:t>（4）</w:t>
            </w:r>
            <w:r>
              <w:rPr>
                <w:rFonts w:hint="eastAsia"/>
                <w:color w:val="auto"/>
                <w:sz w:val="24"/>
                <w:szCs w:val="24"/>
                <w:lang w:val="zh-CN"/>
              </w:rPr>
              <w:t>实践正当性分析</w:t>
            </w:r>
          </w:p>
          <w:p>
            <w:pPr>
              <w:widowControl w:val="0"/>
              <w:spacing w:line="360" w:lineRule="auto"/>
              <w:ind w:firstLine="480" w:firstLineChars="200"/>
              <w:jc w:val="both"/>
              <w:rPr>
                <w:rFonts w:hint="eastAsia"/>
                <w:color w:val="auto"/>
                <w:sz w:val="24"/>
                <w:szCs w:val="24"/>
              </w:rPr>
            </w:pPr>
            <w:r>
              <w:rPr>
                <w:rFonts w:hint="eastAsia"/>
                <w:color w:val="auto"/>
                <w:sz w:val="24"/>
                <w:szCs w:val="24"/>
              </w:rPr>
              <w:t>核技术在医学上的应用在我国是一门成熟的技术，它在医学诊断、治疗方面有其他技术无法替代的特点，对保障健康、拯救生命起了十分重要的作用。</w:t>
            </w:r>
            <w:r>
              <w:rPr>
                <w:rFonts w:hint="eastAsia" w:ascii="宋体" w:hAnsi="宋体" w:eastAsia="宋体" w:cs="宋体"/>
                <w:color w:val="auto"/>
                <w:sz w:val="24"/>
                <w:szCs w:val="24"/>
                <w:lang w:eastAsia="zh-CN"/>
              </w:rPr>
              <w:t>安庆市市域面积约</w:t>
            </w:r>
            <w:r>
              <w:rPr>
                <w:rFonts w:hint="eastAsia" w:ascii="宋体" w:hAnsi="宋体" w:eastAsia="宋体" w:cs="宋体"/>
                <w:color w:val="auto"/>
                <w:sz w:val="24"/>
                <w:szCs w:val="24"/>
                <w:lang w:val="en-US" w:eastAsia="zh-CN"/>
              </w:rPr>
              <w:t>1.5万平方千米，人口约500万。</w:t>
            </w:r>
            <w:r>
              <w:rPr>
                <w:rFonts w:hint="eastAsia" w:ascii="宋体" w:hAnsi="宋体" w:eastAsia="宋体" w:cs="宋体"/>
                <w:color w:val="auto"/>
                <w:sz w:val="24"/>
                <w:szCs w:val="24"/>
                <w:lang w:eastAsia="zh-CN"/>
              </w:rPr>
              <w:t>安庆市石化医院导管介入治疗涉及到心</w:t>
            </w:r>
            <w:r>
              <w:rPr>
                <w:rFonts w:hint="eastAsia" w:ascii="宋体" w:hAnsi="宋体" w:eastAsia="宋体" w:cs="宋体"/>
                <w:color w:val="auto"/>
                <w:sz w:val="24"/>
                <w:szCs w:val="24"/>
                <w:lang w:val="en-US" w:eastAsia="zh-CN"/>
              </w:rPr>
              <w:t>血管</w:t>
            </w:r>
            <w:r>
              <w:rPr>
                <w:rFonts w:hint="eastAsia" w:ascii="宋体" w:hAnsi="宋体" w:eastAsia="宋体" w:cs="宋体"/>
                <w:color w:val="auto"/>
                <w:sz w:val="24"/>
                <w:szCs w:val="24"/>
                <w:lang w:eastAsia="zh-CN"/>
              </w:rPr>
              <w:t>内科、</w:t>
            </w:r>
            <w:r>
              <w:rPr>
                <w:rFonts w:hint="eastAsia" w:ascii="宋体" w:hAnsi="宋体" w:eastAsia="宋体" w:cs="宋体"/>
                <w:color w:val="auto"/>
                <w:sz w:val="24"/>
                <w:szCs w:val="24"/>
                <w:lang w:val="en-US" w:eastAsia="zh-CN"/>
              </w:rPr>
              <w:t>放射科、</w:t>
            </w:r>
            <w:r>
              <w:rPr>
                <w:rFonts w:hint="eastAsia" w:ascii="宋体" w:hAnsi="宋体" w:eastAsia="宋体" w:cs="宋体"/>
                <w:color w:val="auto"/>
                <w:sz w:val="24"/>
                <w:szCs w:val="24"/>
                <w:lang w:eastAsia="zh-CN"/>
              </w:rPr>
              <w:t>神经外科等，</w:t>
            </w:r>
            <w:r>
              <w:rPr>
                <w:rFonts w:hint="eastAsia" w:ascii="宋体" w:hAnsi="宋体" w:eastAsia="宋体" w:cs="宋体"/>
                <w:color w:val="auto"/>
                <w:sz w:val="24"/>
                <w:szCs w:val="24"/>
                <w:lang w:val="en-US" w:eastAsia="zh-CN"/>
              </w:rPr>
              <w:t>DSA技术</w:t>
            </w:r>
            <w:r>
              <w:rPr>
                <w:rFonts w:hint="eastAsia" w:ascii="宋体" w:hAnsi="宋体" w:eastAsia="宋体" w:cs="宋体"/>
                <w:color w:val="auto"/>
                <w:sz w:val="24"/>
                <w:szCs w:val="24"/>
                <w:lang w:eastAsia="zh-CN"/>
              </w:rPr>
              <w:t>在安庆市处于领先地位，</w:t>
            </w:r>
            <w:r>
              <w:rPr>
                <w:rFonts w:hint="eastAsia" w:ascii="宋体" w:hAnsi="宋体" w:eastAsia="宋体" w:cs="宋体"/>
                <w:color w:val="auto"/>
                <w:sz w:val="24"/>
                <w:szCs w:val="24"/>
              </w:rPr>
              <w:t>本项目符合医院以及所在地区的医疗服务需要。因此，该项目符合《电离辐射防护与辐射源安全基本标准》（GB18871-2002）中辐射防护“实践正当性”的要求</w:t>
            </w:r>
            <w:r>
              <w:rPr>
                <w:rFonts w:hint="eastAsia"/>
                <w:color w:val="auto"/>
                <w:sz w:val="24"/>
                <w:szCs w:val="24"/>
              </w:rPr>
              <w:t>。</w:t>
            </w:r>
          </w:p>
          <w:p>
            <w:pPr>
              <w:widowControl w:val="0"/>
              <w:spacing w:line="360" w:lineRule="auto"/>
              <w:ind w:firstLine="480" w:firstLineChars="200"/>
              <w:jc w:val="both"/>
              <w:rPr>
                <w:b/>
                <w:bCs/>
                <w:color w:val="auto"/>
                <w:sz w:val="24"/>
                <w:szCs w:val="24"/>
              </w:rPr>
            </w:pPr>
            <w:r>
              <w:rPr>
                <w:rFonts w:hint="eastAsia"/>
                <w:b/>
                <w:bCs/>
                <w:color w:val="auto"/>
                <w:sz w:val="24"/>
                <w:szCs w:val="24"/>
              </w:rPr>
              <w:t>4、</w:t>
            </w:r>
            <w:r>
              <w:rPr>
                <w:b/>
                <w:bCs/>
                <w:color w:val="auto"/>
                <w:sz w:val="24"/>
                <w:szCs w:val="24"/>
              </w:rPr>
              <w:t>结论</w:t>
            </w:r>
          </w:p>
          <w:p>
            <w:pPr>
              <w:widowControl w:val="0"/>
              <w:spacing w:before="156" w:beforeLines="50" w:line="360" w:lineRule="auto"/>
              <w:ind w:firstLine="480" w:firstLineChars="200"/>
              <w:jc w:val="both"/>
              <w:rPr>
                <w:rFonts w:hint="eastAsia"/>
                <w:b/>
                <w:color w:val="auto"/>
                <w:kern w:val="0"/>
                <w:sz w:val="24"/>
              </w:rPr>
            </w:pPr>
            <w:r>
              <w:rPr>
                <w:b/>
                <w:color w:val="auto"/>
                <w:kern w:val="0"/>
                <w:sz w:val="24"/>
              </w:rPr>
              <w:t>综上所述，建设单位具备从事辐射活动的技术能力，</w:t>
            </w:r>
            <w:r>
              <w:rPr>
                <w:rFonts w:hint="eastAsia"/>
                <w:b/>
                <w:color w:val="auto"/>
                <w:kern w:val="0"/>
                <w:sz w:val="24"/>
                <w:lang w:eastAsia="zh-CN"/>
              </w:rPr>
              <w:t>已按要求</w:t>
            </w:r>
            <w:r>
              <w:rPr>
                <w:b/>
                <w:color w:val="auto"/>
                <w:kern w:val="0"/>
                <w:sz w:val="24"/>
              </w:rPr>
              <w:t>落实</w:t>
            </w:r>
            <w:r>
              <w:rPr>
                <w:rFonts w:hint="eastAsia"/>
                <w:b/>
                <w:color w:val="auto"/>
                <w:kern w:val="0"/>
                <w:sz w:val="24"/>
                <w:lang w:eastAsia="zh-CN"/>
              </w:rPr>
              <w:t>了</w:t>
            </w:r>
            <w:r>
              <w:rPr>
                <w:b/>
                <w:color w:val="auto"/>
                <w:kern w:val="0"/>
                <w:sz w:val="24"/>
              </w:rPr>
              <w:t>各项</w:t>
            </w:r>
            <w:r>
              <w:rPr>
                <w:rFonts w:hint="eastAsia"/>
                <w:b/>
                <w:color w:val="auto"/>
                <w:kern w:val="0"/>
                <w:sz w:val="24"/>
              </w:rPr>
              <w:t>辐射</w:t>
            </w:r>
            <w:r>
              <w:rPr>
                <w:b/>
                <w:color w:val="auto"/>
                <w:kern w:val="0"/>
                <w:sz w:val="24"/>
              </w:rPr>
              <w:t>防护措施，该项目运行时对周围环境产生的影响符合辐射环境保护的要求，故从辐射安全和环境</w:t>
            </w:r>
            <w:r>
              <w:rPr>
                <w:rFonts w:hint="eastAsia"/>
                <w:b/>
                <w:color w:val="auto"/>
                <w:kern w:val="0"/>
                <w:sz w:val="24"/>
              </w:rPr>
              <w:t>影响</w:t>
            </w:r>
            <w:r>
              <w:rPr>
                <w:b/>
                <w:color w:val="auto"/>
                <w:kern w:val="0"/>
                <w:sz w:val="24"/>
              </w:rPr>
              <w:t>的角度而言，该项目的运行是可行的。</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jc w:val="left"/>
              <w:textAlignment w:val="auto"/>
              <w:rPr>
                <w:rFonts w:hint="default" w:ascii="Times New Roman" w:hAnsi="Times New Roman" w:eastAsia="宋体" w:cs="Times New Roman"/>
                <w:b/>
                <w:bCs/>
                <w:color w:val="auto"/>
                <w:sz w:val="21"/>
                <w:szCs w:val="21"/>
                <w:lang w:eastAsia="zh-CN"/>
              </w:rPr>
            </w:pPr>
            <w:r>
              <w:rPr>
                <w:rFonts w:hint="eastAsia"/>
                <w:color w:val="auto"/>
                <w:lang w:eastAsia="zh-CN"/>
              </w:rPr>
              <w:t>二、</w:t>
            </w:r>
            <w:r>
              <w:rPr>
                <w:rFonts w:hint="default" w:ascii="Times New Roman" w:hAnsi="Times New Roman" w:eastAsia="宋体" w:cs="Times New Roman"/>
                <w:b/>
                <w:bCs/>
                <w:color w:val="auto"/>
                <w:sz w:val="21"/>
                <w:szCs w:val="21"/>
                <w:lang w:eastAsia="zh-CN"/>
              </w:rPr>
              <w:t>审批部门的审批决定</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《安庆市生态环境局关于安庆市石化院DSA项目环境影响报告表</w:t>
            </w:r>
            <w:r>
              <w:rPr>
                <w:rFonts w:hint="eastAsia" w:cs="Times New Roman"/>
                <w:b/>
                <w:bCs/>
                <w:color w:val="auto"/>
                <w:kern w:val="0"/>
                <w:sz w:val="21"/>
                <w:szCs w:val="21"/>
                <w:lang w:val="en-US" w:eastAsia="zh-CN" w:bidi="ar"/>
              </w:rPr>
              <w:t>审查</w:t>
            </w:r>
            <w:r>
              <w:rPr>
                <w:rFonts w:hint="default" w:ascii="Times New Roman" w:hAnsi="Times New Roman" w:eastAsia="宋体" w:cs="Times New Roman"/>
                <w:b/>
                <w:bCs/>
                <w:color w:val="auto"/>
                <w:kern w:val="0"/>
                <w:sz w:val="21"/>
                <w:szCs w:val="21"/>
                <w:lang w:val="en-US" w:eastAsia="zh-CN" w:bidi="ar"/>
              </w:rPr>
              <w:t>意见的函》宜环建函[2021] 18 号</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你院报来的《安庆市石化医院DSA项目环境影响报告表》(以下简称《报告表》)收悉。结合大观区生态环境分局意见，经研究，现将我局审查意见函告如下:</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2021年1月21日，安庆市大观区生态环境分局对你单位开展辐射安全情况检查发现,你院已在影像中心一楼南侧建设了导管室，安装DSA设备1台，用于心血管等介入治疗，项目属于“未批先建”。根据大观区生态环境分局《关于对南京鼓楼医院集团安庆市石化医院的环境监察通知书》(观环察函[2021]1号)要求，鉴于本项目符合医疗发展需要,项目《报告表》描述的辐射防治措施符合相关标准，我局原则同意项目建设。</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（二）你院应加强运营期DSA机房辐射防护管理，确保机房周边防护满足《医用X射线诊断放射防护要求》(GBZ130-2012 )。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（三）现DSA机房直接接触的上方现为内镜中心的储镜室和患者更衣室以及内镜检查室部分区域,你院应加强DSA机房顶层辐射安全防护措施，做好就医人员及工作人员辐射安全防护。</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四）请你院吸取教训，落实各项环境保护手续。在运营期做好人员辐射安全和防护知识培训、职业健康体检和个人剂量监测工作，落实辐射安全和防护知识复训及体检异常人员岗位调整。组织学习生态环境相关法律法规，建立健全生态环境管理体系，明确辐射安全负责人，确保不再出现环境违法违规行为。</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（五）请你院加强管理，及时向省生态环境厅重新申请核辐射安全许可证。</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表4-</w:t>
            </w:r>
            <w:r>
              <w:rPr>
                <w:rFonts w:hint="eastAsia" w:cs="Times New Roman"/>
                <w:b/>
                <w:bCs/>
                <w:color w:val="auto"/>
                <w:kern w:val="0"/>
                <w:sz w:val="21"/>
                <w:szCs w:val="21"/>
                <w:lang w:val="en-US" w:eastAsia="zh-CN" w:bidi="ar"/>
              </w:rPr>
              <w:t>1</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关于宜环建函[2021] 18 号文批复的落实情况</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4318"/>
              <w:gridCol w:w="299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05" w:type="dxa"/>
                </w:tcPr>
                <w:p>
                  <w:pPr>
                    <w:widowControl w:val="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序号</w:t>
                  </w:r>
                </w:p>
              </w:tc>
              <w:tc>
                <w:tcPr>
                  <w:tcW w:w="4318"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环评批复要求</w:t>
                  </w:r>
                </w:p>
              </w:tc>
              <w:tc>
                <w:tcPr>
                  <w:tcW w:w="2990"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现场调查检测结果</w:t>
                  </w:r>
                </w:p>
              </w:tc>
              <w:tc>
                <w:tcPr>
                  <w:tcW w:w="1185" w:type="dxa"/>
                </w:tcPr>
                <w:p>
                  <w:pPr>
                    <w:widowControl w:val="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trPr>
              <w:tc>
                <w:tcPr>
                  <w:tcW w:w="705"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4318" w:type="dxa"/>
                </w:tcPr>
                <w:p>
                  <w:pPr>
                    <w:keepNext w:val="0"/>
                    <w:keepLines w:val="0"/>
                    <w:pageBreakBefore w:val="0"/>
                    <w:widowControl w:val="0"/>
                    <w:tabs>
                      <w:tab w:val="left" w:pos="1401"/>
                    </w:tabs>
                    <w:kinsoku/>
                    <w:wordWrap/>
                    <w:overflowPunct/>
                    <w:topLinePunct w:val="0"/>
                    <w:autoSpaceDE/>
                    <w:autoSpaceDN/>
                    <w:bidi w:val="0"/>
                    <w:adjustRightInd/>
                    <w:snapToGrid/>
                    <w:spacing w:line="240" w:lineRule="auto"/>
                    <w:ind w:right="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你院已在影像中心一楼南侧建设了导管室，安装DSA设备1台，用于心血管等介入治疗，项目属于“未批先建”.根据大观区生态环境分局《关于对南京鼓楼医院集团安庆市石化医院的环境监察通知书》(观环察函[2021]1号)要求，鉴于本项目符合医疗发展需要,项目《报告表》描述的辐射防治措施符合相关标准，我局原则同意项目建设。</w:t>
                  </w:r>
                </w:p>
              </w:tc>
              <w:tc>
                <w:tcPr>
                  <w:tcW w:w="2990"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185"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05"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4318" w:type="dxa"/>
                </w:tcPr>
                <w:p>
                  <w:pPr>
                    <w:widowControl w:val="0"/>
                    <w:jc w:val="both"/>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你院应加强运营期DSA机房辐射防护管理，确保机房周边防护满足《医用X射线诊断放射防护要求》(GBZ130-2012)。</w:t>
                  </w:r>
                </w:p>
              </w:tc>
              <w:tc>
                <w:tcPr>
                  <w:tcW w:w="2990" w:type="dxa"/>
                </w:tcPr>
                <w:p>
                  <w:pPr>
                    <w:widowControl w:val="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本项目检测结果符合《放射诊断放射防护要求》(GBZ130-2020)的要求。具体检测内容见附件11.</w:t>
                  </w:r>
                </w:p>
                <w:p>
                  <w:pPr>
                    <w:pStyle w:val="14"/>
                    <w:widowControl w:val="0"/>
                    <w:jc w:val="both"/>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说明：参照新标准验收</w:t>
                  </w:r>
                </w:p>
              </w:tc>
              <w:tc>
                <w:tcPr>
                  <w:tcW w:w="1185"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705"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4318" w:type="dxa"/>
                </w:tcPr>
                <w:p>
                  <w:pPr>
                    <w:keepNext w:val="0"/>
                    <w:keepLines w:val="0"/>
                    <w:pageBreakBefore w:val="0"/>
                    <w:widowControl w:val="0"/>
                    <w:tabs>
                      <w:tab w:val="left" w:pos="1401"/>
                    </w:tabs>
                    <w:kinsoku/>
                    <w:wordWrap/>
                    <w:overflowPunct/>
                    <w:topLinePunct w:val="0"/>
                    <w:autoSpaceDE/>
                    <w:autoSpaceDN/>
                    <w:bidi w:val="0"/>
                    <w:adjustRightInd/>
                    <w:snapToGrid/>
                    <w:spacing w:line="240" w:lineRule="auto"/>
                    <w:ind w:right="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现DSA机房直接接触的上方现为内镜中心的储镜室和患者更衣室以及内镜检查室部分区域，你院应加强DSA机房顶层辐射安全防护措施，做好就医人员及工作人员辐射安全防护。</w:t>
                  </w:r>
                </w:p>
              </w:tc>
              <w:tc>
                <w:tcPr>
                  <w:tcW w:w="2990" w:type="dxa"/>
                </w:tcPr>
                <w:p>
                  <w:pPr>
                    <w:widowControl w:val="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已在DSA机房顶面铺设</w:t>
                  </w:r>
                  <w:r>
                    <w:rPr>
                      <w:rFonts w:hint="eastAsia" w:ascii="宋体" w:hAnsi="宋体" w:eastAsia="宋体" w:cs="宋体"/>
                      <w:bCs/>
                      <w:color w:val="auto"/>
                      <w:sz w:val="21"/>
                      <w:szCs w:val="21"/>
                      <w:lang w:val="en-US" w:eastAsia="zh-CN"/>
                    </w:rPr>
                    <w:t>20</w:t>
                  </w:r>
                  <w:r>
                    <w:rPr>
                      <w:rFonts w:hint="eastAsia" w:ascii="宋体" w:hAnsi="宋体" w:eastAsia="宋体" w:cs="宋体"/>
                      <w:bCs/>
                      <w:color w:val="auto"/>
                      <w:sz w:val="21"/>
                      <w:szCs w:val="21"/>
                    </w:rPr>
                    <w:t>0mm厚</w:t>
                  </w:r>
                  <w:r>
                    <w:rPr>
                      <w:rFonts w:hint="eastAsia" w:ascii="宋体" w:hAnsi="宋体" w:eastAsia="宋体" w:cs="宋体"/>
                      <w:bCs/>
                      <w:color w:val="auto"/>
                      <w:sz w:val="21"/>
                      <w:szCs w:val="21"/>
                      <w:lang w:eastAsia="zh-CN"/>
                    </w:rPr>
                    <w:t>钢筋</w:t>
                  </w:r>
                  <w:r>
                    <w:rPr>
                      <w:rFonts w:hint="eastAsia" w:ascii="宋体" w:hAnsi="宋体" w:eastAsia="宋体" w:cs="宋体"/>
                      <w:bCs/>
                      <w:color w:val="auto"/>
                      <w:sz w:val="21"/>
                      <w:szCs w:val="21"/>
                    </w:rPr>
                    <w:t>混凝土+</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mmPb</w:t>
                  </w:r>
                  <w:r>
                    <w:rPr>
                      <w:rFonts w:hint="eastAsia" w:ascii="宋体" w:hAnsi="宋体" w:eastAsia="宋体" w:cs="宋体"/>
                      <w:color w:val="auto"/>
                      <w:sz w:val="21"/>
                      <w:szCs w:val="21"/>
                      <w:lang w:eastAsia="zh-CN"/>
                    </w:rPr>
                    <w:t>硫酸钡涂料，已合理安排上方医务人员的工作内容，避免长时间逗留。</w:t>
                  </w:r>
                </w:p>
              </w:tc>
              <w:tc>
                <w:tcPr>
                  <w:tcW w:w="1185"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3" w:hRule="atLeast"/>
              </w:trPr>
              <w:tc>
                <w:tcPr>
                  <w:tcW w:w="705"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4318" w:type="dxa"/>
                </w:tcPr>
                <w:p>
                  <w:pPr>
                    <w:widowControl w:val="0"/>
                    <w:jc w:val="both"/>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请你院吸取教训，落实各项环境保护手续。在运营期做好人员辐射安全和防护知识培训、职业健康体检和个人剂量监测工作，落实辐射安全和防护知识复训及体检异常人员岗位调整。组织学习生态环境相关法律法规，建立健全生态环境管理体系，明确辐射安全负责人，确保不再出现环境违法违规行为。</w:t>
                  </w:r>
                </w:p>
              </w:tc>
              <w:tc>
                <w:tcPr>
                  <w:tcW w:w="2990" w:type="dxa"/>
                </w:tcPr>
                <w:p>
                  <w:pPr>
                    <w:keepNext w:val="0"/>
                    <w:keepLines w:val="0"/>
                    <w:widowControl/>
                    <w:suppressLineNumbers w:val="0"/>
                    <w:jc w:val="left"/>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已制订了</w:t>
                  </w:r>
                  <w:r>
                    <w:rPr>
                      <w:rFonts w:hint="eastAsia" w:ascii="宋体" w:hAnsi="宋体" w:eastAsia="宋体" w:cs="宋体"/>
                      <w:color w:val="auto"/>
                      <w:kern w:val="0"/>
                      <w:sz w:val="21"/>
                      <w:szCs w:val="21"/>
                      <w:lang w:val="zh-CN" w:eastAsia="zh-CN" w:bidi="ar"/>
                    </w:rPr>
                    <w:t>《辐射安全事故应急预案》</w:t>
                  </w:r>
                  <w:r>
                    <w:rPr>
                      <w:rFonts w:hint="eastAsia" w:ascii="宋体" w:hAnsi="宋体" w:eastAsia="宋体" w:cs="宋体"/>
                      <w:color w:val="auto"/>
                      <w:kern w:val="0"/>
                      <w:sz w:val="21"/>
                      <w:szCs w:val="21"/>
                      <w:lang w:val="en-US" w:eastAsia="zh-CN" w:bidi="ar"/>
                    </w:rPr>
                    <w:t>等一系列制度，并已做好人员辐射安全和防护知识培训、职业健康体检和个人剂量监测工作，已落实辐射安全和防护知识复训及体检异常人员岗位调整。已组织学习生态环境相关法律法规，并明确了辐射安全负责人。</w:t>
                  </w:r>
                </w:p>
              </w:tc>
              <w:tc>
                <w:tcPr>
                  <w:tcW w:w="1185"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05"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4318" w:type="dxa"/>
                </w:tcPr>
                <w:p>
                  <w:pPr>
                    <w:widowControl w:val="0"/>
                    <w:jc w:val="both"/>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请你院加强管理，及时向省生态环境厅重新申请核辐射安全许可证。</w:t>
                  </w:r>
                </w:p>
              </w:tc>
              <w:tc>
                <w:tcPr>
                  <w:tcW w:w="2990" w:type="dxa"/>
                </w:tcPr>
                <w:p>
                  <w:pPr>
                    <w:widowControl w:val="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已重新</w:t>
                  </w:r>
                  <w:r>
                    <w:rPr>
                      <w:rFonts w:hint="eastAsia" w:ascii="宋体" w:hAnsi="宋体" w:eastAsia="宋体" w:cs="宋体"/>
                      <w:color w:val="auto"/>
                      <w:kern w:val="0"/>
                      <w:sz w:val="21"/>
                      <w:szCs w:val="21"/>
                      <w:lang w:val="en-US" w:eastAsia="zh-CN" w:bidi="ar"/>
                    </w:rPr>
                    <w:t>向省生态环境厅申请核辐射安全许可证。</w:t>
                  </w:r>
                </w:p>
              </w:tc>
              <w:tc>
                <w:tcPr>
                  <w:tcW w:w="1185"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已落实</w:t>
                  </w:r>
                </w:p>
              </w:tc>
            </w:tr>
          </w:tbl>
          <w:p>
            <w:pPr>
              <w:widowControl w:val="0"/>
              <w:jc w:val="both"/>
              <w:rPr>
                <w:rFonts w:hint="eastAsia" w:eastAsia="宋体"/>
                <w:color w:val="auto"/>
                <w:lang w:eastAsia="zh-CN"/>
              </w:rPr>
            </w:pPr>
          </w:p>
          <w:p>
            <w:pPr>
              <w:widowControl w:val="0"/>
              <w:jc w:val="both"/>
              <w:rPr>
                <w:color w:val="auto"/>
              </w:rPr>
            </w:pPr>
          </w:p>
        </w:tc>
      </w:tr>
    </w:tbl>
    <w:p>
      <w:pPr>
        <w:rPr>
          <w:color w:val="auto"/>
        </w:rPr>
      </w:pPr>
    </w:p>
    <w:p>
      <w:pPr>
        <w:pStyle w:val="14"/>
        <w:rPr>
          <w:color w:val="auto"/>
        </w:rPr>
      </w:pPr>
    </w:p>
    <w:p>
      <w:pPr>
        <w:rPr>
          <w:color w:val="auto"/>
        </w:rPr>
      </w:pPr>
    </w:p>
    <w:p>
      <w:pPr>
        <w:pStyle w:val="14"/>
        <w:rPr>
          <w:color w:val="auto"/>
        </w:rPr>
      </w:pPr>
    </w:p>
    <w:p>
      <w:pPr>
        <w:rPr>
          <w:color w:val="auto"/>
        </w:rPr>
      </w:pPr>
    </w:p>
    <w:p>
      <w:pPr>
        <w:pStyle w:val="14"/>
        <w:rPr>
          <w:color w:val="auto"/>
        </w:rPr>
      </w:pPr>
    </w:p>
    <w:p>
      <w:pPr>
        <w:rPr>
          <w:color w:val="auto"/>
        </w:rPr>
      </w:pPr>
    </w:p>
    <w:p>
      <w:pPr>
        <w:pStyle w:val="4"/>
        <w:spacing w:line="360" w:lineRule="auto"/>
        <w:jc w:val="center"/>
        <w:rPr>
          <w:rFonts w:ascii="仿宋" w:hAnsi="仿宋" w:eastAsia="仿宋"/>
          <w:color w:val="auto"/>
          <w:sz w:val="28"/>
          <w:szCs w:val="28"/>
        </w:rPr>
      </w:pPr>
      <w:bookmarkStart w:id="23" w:name="_Toc61439311"/>
      <w:r>
        <w:rPr>
          <w:rFonts w:hint="eastAsia" w:ascii="仿宋" w:hAnsi="仿宋" w:eastAsia="仿宋"/>
          <w:color w:val="auto"/>
          <w:sz w:val="28"/>
          <w:szCs w:val="28"/>
        </w:rPr>
        <w:t>表五  验收监测质量保证及质量控制</w:t>
      </w:r>
      <w:bookmarkEnd w:id="23"/>
    </w:p>
    <w:tbl>
      <w:tblPr>
        <w:tblStyle w:val="39"/>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tcPr>
          <w:p>
            <w:pPr>
              <w:keepNext w:val="0"/>
              <w:keepLines w:val="0"/>
              <w:widowControl/>
              <w:suppressLineNumbers w:val="0"/>
              <w:spacing w:line="360" w:lineRule="auto"/>
              <w:jc w:val="left"/>
              <w:rPr>
                <w:rFonts w:hint="eastAsia"/>
                <w:color w:val="auto"/>
                <w:lang w:val="en-US" w:eastAsia="zh-CN"/>
              </w:rPr>
            </w:pPr>
            <w:bookmarkStart w:id="24" w:name="_Toc61439312"/>
            <w:r>
              <w:rPr>
                <w:rFonts w:hint="eastAsia"/>
                <w:color w:val="auto"/>
                <w:lang w:val="en-US" w:eastAsia="zh-CN"/>
              </w:rPr>
              <w:t>辐射监测</w:t>
            </w:r>
          </w:p>
          <w:p>
            <w:pPr>
              <w:keepNext w:val="0"/>
              <w:keepLines w:val="0"/>
              <w:widowControl/>
              <w:suppressLineNumbers w:val="0"/>
              <w:spacing w:line="360" w:lineRule="auto"/>
              <w:jc w:val="left"/>
              <w:rPr>
                <w:rFonts w:hint="default"/>
                <w:color w:val="auto"/>
                <w:lang w:val="en-US" w:eastAsia="zh-CN"/>
              </w:rPr>
            </w:pPr>
            <w:r>
              <w:rPr>
                <w:rFonts w:hint="eastAsia"/>
                <w:color w:val="auto"/>
                <w:lang w:val="en-US" w:eastAsia="zh-CN"/>
              </w:rPr>
              <w:t>（一）</w:t>
            </w:r>
            <w:r>
              <w:rPr>
                <w:rFonts w:hint="default"/>
                <w:color w:val="auto"/>
                <w:lang w:val="en-US" w:eastAsia="zh-CN"/>
              </w:rPr>
              <w:t>监测仪器</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rPr>
            </w:pPr>
            <w:r>
              <w:rPr>
                <w:rFonts w:hint="default"/>
                <w:color w:val="auto"/>
                <w:lang w:val="en-US" w:eastAsia="zh-CN"/>
              </w:rPr>
              <w:t>辐射环境监测仪器为AT112</w:t>
            </w:r>
            <w:r>
              <w:rPr>
                <w:rFonts w:hint="eastAsia"/>
                <w:color w:val="auto"/>
                <w:lang w:val="en-US" w:eastAsia="zh-CN"/>
              </w:rPr>
              <w:t>1</w:t>
            </w:r>
            <w:r>
              <w:rPr>
                <w:rFonts w:hint="default"/>
                <w:color w:val="auto"/>
                <w:lang w:val="en-US" w:eastAsia="zh-CN"/>
              </w:rPr>
              <w:t>，仪器参数见表5-1。</w:t>
            </w:r>
            <w:r>
              <w:rPr>
                <w:rFonts w:hint="eastAsia"/>
                <w:color w:val="auto"/>
                <w:lang w:val="en-US" w:eastAsia="zh-CN"/>
              </w:rPr>
              <w:t>江西同欣检测技术有限公司资质证书见图5-1</w:t>
            </w:r>
            <w:r>
              <w:rPr>
                <w:rFonts w:hint="default"/>
                <w:color w:val="auto"/>
                <w:lang w:val="en-US" w:eastAsia="zh-CN"/>
              </w:rPr>
              <w:t>，仪器检定/校准证书</w:t>
            </w:r>
            <w:r>
              <w:rPr>
                <w:rFonts w:hint="eastAsia"/>
                <w:color w:val="auto"/>
                <w:lang w:val="en-US" w:eastAsia="zh-CN"/>
              </w:rPr>
              <w:t>见图5-2</w:t>
            </w:r>
            <w:r>
              <w:rPr>
                <w:rFonts w:hint="default"/>
                <w:color w:val="auto"/>
                <w:lang w:val="en-US" w:eastAsia="zh-CN"/>
              </w:rPr>
              <w:t>。</w:t>
            </w:r>
            <w:r>
              <w:rPr>
                <w:rFonts w:hint="eastAsia"/>
                <w:color w:val="auto"/>
              </w:rPr>
              <w:t>江西同欣检测技术有限公司</w:t>
            </w:r>
            <w:r>
              <w:rPr>
                <w:rFonts w:hint="eastAsia"/>
                <w:color w:val="auto"/>
                <w:lang w:eastAsia="zh-CN"/>
              </w:rPr>
              <w:t>具体资质情况见附件</w:t>
            </w:r>
            <w:r>
              <w:rPr>
                <w:rFonts w:hint="eastAsia"/>
                <w:color w:val="auto"/>
                <w:lang w:val="en-US" w:eastAsia="zh-CN"/>
              </w:rPr>
              <w:t>27。</w:t>
            </w:r>
          </w:p>
          <w:p>
            <w:pPr>
              <w:widowControl w:val="0"/>
              <w:spacing w:line="360" w:lineRule="auto"/>
              <w:jc w:val="center"/>
              <w:rPr>
                <w:rFonts w:hint="default"/>
                <w:color w:val="auto"/>
                <w:lang w:eastAsia="zh-CN"/>
              </w:rPr>
            </w:pPr>
            <w:r>
              <w:rPr>
                <w:rFonts w:hint="default"/>
                <w:color w:val="auto"/>
              </w:rPr>
              <w:t>表</w:t>
            </w:r>
            <w:r>
              <w:rPr>
                <w:rFonts w:hint="default"/>
                <w:color w:val="auto"/>
                <w:lang w:val="en-US" w:eastAsia="zh-CN"/>
              </w:rPr>
              <w:t>5</w:t>
            </w:r>
            <w:r>
              <w:rPr>
                <w:rFonts w:hint="default"/>
                <w:color w:val="auto"/>
              </w:rPr>
              <w:t xml:space="preserve">-1  </w:t>
            </w:r>
            <w:r>
              <w:rPr>
                <w:rFonts w:hint="eastAsia"/>
                <w:color w:val="auto"/>
                <w:lang w:eastAsia="zh-CN"/>
              </w:rPr>
              <w:t>辐射</w:t>
            </w:r>
            <w:r>
              <w:rPr>
                <w:rFonts w:hint="default"/>
                <w:color w:val="auto"/>
              </w:rPr>
              <w:t>监测仪器</w:t>
            </w:r>
            <w:r>
              <w:rPr>
                <w:rFonts w:hint="default"/>
                <w:color w:val="auto"/>
                <w:lang w:eastAsia="zh-CN"/>
              </w:rPr>
              <w:t>主要技术</w:t>
            </w:r>
            <w:r>
              <w:rPr>
                <w:rFonts w:hint="default"/>
                <w:color w:val="auto"/>
              </w:rPr>
              <w:t>参数</w:t>
            </w:r>
            <w:r>
              <w:rPr>
                <w:rFonts w:hint="default"/>
                <w:color w:val="auto"/>
                <w:lang w:eastAsia="zh-CN"/>
              </w:rPr>
              <w:t>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5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6" w:type="dxa"/>
                  <w:tcBorders>
                    <w:tl2br w:val="single" w:color="auto" w:sz="4" w:space="0"/>
                  </w:tcBorders>
                  <w:noWrap w:val="0"/>
                  <w:vAlign w:val="center"/>
                </w:tcPr>
                <w:p>
                  <w:pPr>
                    <w:jc w:val="center"/>
                    <w:rPr>
                      <w:rFonts w:hint="default"/>
                      <w:color w:val="auto"/>
                    </w:rPr>
                  </w:pPr>
                  <w:r>
                    <w:rPr>
                      <w:rFonts w:hint="default"/>
                      <w:color w:val="auto"/>
                    </w:rPr>
                    <w:t xml:space="preserve">    仪器名称</w:t>
                  </w:r>
                </w:p>
                <w:p>
                  <w:pPr>
                    <w:ind w:firstLine="240" w:firstLineChars="100"/>
                    <w:rPr>
                      <w:rFonts w:hint="default"/>
                      <w:color w:val="auto"/>
                    </w:rPr>
                  </w:pPr>
                  <w:r>
                    <w:rPr>
                      <w:rFonts w:hint="default"/>
                      <w:color w:val="auto"/>
                    </w:rPr>
                    <w:t>仪器参数</w:t>
                  </w:r>
                </w:p>
              </w:tc>
              <w:tc>
                <w:tcPr>
                  <w:tcW w:w="5530" w:type="dxa"/>
                  <w:noWrap w:val="0"/>
                  <w:vAlign w:val="center"/>
                </w:tcPr>
                <w:p>
                  <w:pPr>
                    <w:spacing w:line="460" w:lineRule="exact"/>
                    <w:jc w:val="center"/>
                    <w:rPr>
                      <w:rFonts w:hint="default"/>
                      <w:color w:val="auto"/>
                    </w:rPr>
                  </w:pPr>
                  <w:r>
                    <w:rPr>
                      <w:rFonts w:hint="default"/>
                      <w:color w:val="auto"/>
                    </w:rPr>
                    <w:t>X-γ辐射</w:t>
                  </w:r>
                  <w:r>
                    <w:rPr>
                      <w:rFonts w:hint="eastAsia"/>
                      <w:color w:val="auto"/>
                      <w:lang w:eastAsia="zh-CN"/>
                    </w:rPr>
                    <w:t>剂量当量</w:t>
                  </w:r>
                  <w:r>
                    <w:rPr>
                      <w:rFonts w:hint="default"/>
                      <w:color w:val="auto"/>
                    </w:rPr>
                    <w:t>率仪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6" w:type="dxa"/>
                  <w:noWrap w:val="0"/>
                  <w:vAlign w:val="center"/>
                </w:tcPr>
                <w:p>
                  <w:pPr>
                    <w:jc w:val="center"/>
                    <w:rPr>
                      <w:rFonts w:hint="default"/>
                      <w:color w:val="auto"/>
                    </w:rPr>
                  </w:pPr>
                  <w:r>
                    <w:rPr>
                      <w:rFonts w:hint="default"/>
                      <w:color w:val="auto"/>
                    </w:rPr>
                    <w:t>仪器型号</w:t>
                  </w:r>
                </w:p>
              </w:tc>
              <w:tc>
                <w:tcPr>
                  <w:tcW w:w="5530" w:type="dxa"/>
                  <w:noWrap w:val="0"/>
                  <w:vAlign w:val="center"/>
                </w:tcPr>
                <w:p>
                  <w:pPr>
                    <w:spacing w:line="460" w:lineRule="exact"/>
                    <w:jc w:val="center"/>
                    <w:rPr>
                      <w:rFonts w:hint="default"/>
                      <w:color w:val="auto"/>
                    </w:rPr>
                  </w:pPr>
                  <w:r>
                    <w:rPr>
                      <w:rFonts w:hint="default"/>
                      <w:color w:val="auto"/>
                      <w:lang w:val="en-US" w:eastAsia="zh-CN"/>
                    </w:rPr>
                    <w:t>AT112</w:t>
                  </w: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6" w:type="dxa"/>
                  <w:noWrap w:val="0"/>
                  <w:vAlign w:val="center"/>
                </w:tcPr>
                <w:p>
                  <w:pPr>
                    <w:jc w:val="center"/>
                    <w:rPr>
                      <w:rFonts w:hint="default"/>
                      <w:color w:val="auto"/>
                    </w:rPr>
                  </w:pPr>
                  <w:r>
                    <w:rPr>
                      <w:rFonts w:hint="default"/>
                      <w:color w:val="auto"/>
                    </w:rPr>
                    <w:t>仪器出厂编号</w:t>
                  </w:r>
                </w:p>
              </w:tc>
              <w:tc>
                <w:tcPr>
                  <w:tcW w:w="5530" w:type="dxa"/>
                  <w:noWrap w:val="0"/>
                  <w:vAlign w:val="center"/>
                </w:tcPr>
                <w:p>
                  <w:pPr>
                    <w:spacing w:line="460" w:lineRule="exact"/>
                    <w:jc w:val="center"/>
                    <w:rPr>
                      <w:rFonts w:hint="default"/>
                      <w:color w:val="auto"/>
                      <w:lang w:val="en-US" w:eastAsia="zh-CN"/>
                    </w:rPr>
                  </w:pPr>
                  <w:r>
                    <w:rPr>
                      <w:rFonts w:hint="eastAsia"/>
                      <w:color w:val="auto"/>
                      <w:lang w:val="en-US" w:eastAsia="zh-CN"/>
                    </w:rPr>
                    <w:t>452625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6" w:type="dxa"/>
                  <w:noWrap w:val="0"/>
                  <w:vAlign w:val="center"/>
                </w:tcPr>
                <w:p>
                  <w:pPr>
                    <w:jc w:val="center"/>
                    <w:rPr>
                      <w:rFonts w:hint="default"/>
                      <w:color w:val="auto"/>
                    </w:rPr>
                  </w:pPr>
                  <w:r>
                    <w:rPr>
                      <w:rFonts w:hint="default"/>
                      <w:color w:val="auto"/>
                    </w:rPr>
                    <w:t>测量范围</w:t>
                  </w:r>
                </w:p>
              </w:tc>
              <w:tc>
                <w:tcPr>
                  <w:tcW w:w="5530" w:type="dxa"/>
                  <w:noWrap w:val="0"/>
                  <w:vAlign w:val="center"/>
                </w:tcPr>
                <w:p>
                  <w:pPr>
                    <w:spacing w:line="460" w:lineRule="exact"/>
                    <w:jc w:val="center"/>
                    <w:rPr>
                      <w:rFonts w:hint="default"/>
                      <w:color w:val="auto"/>
                    </w:rPr>
                  </w:pPr>
                  <w:r>
                    <w:rPr>
                      <w:rFonts w:hint="eastAsia"/>
                      <w:color w:val="auto"/>
                      <w:lang w:val="en-US" w:eastAsia="zh-CN"/>
                    </w:rPr>
                    <w:t>10nGy/h</w:t>
                  </w:r>
                  <w:r>
                    <w:rPr>
                      <w:rFonts w:hint="default"/>
                      <w:color w:val="auto"/>
                      <w:lang w:val="en-US" w:eastAsia="zh-CN"/>
                    </w:rPr>
                    <w:t>～10</w:t>
                  </w:r>
                  <w:r>
                    <w:rPr>
                      <w:rFonts w:hint="eastAsia"/>
                      <w:color w:val="auto"/>
                      <w:lang w:val="en-US" w:eastAsia="zh-CN"/>
                    </w:rPr>
                    <w:t>0Gy/h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6" w:type="dxa"/>
                  <w:noWrap w:val="0"/>
                  <w:vAlign w:val="center"/>
                </w:tcPr>
                <w:p>
                  <w:pPr>
                    <w:jc w:val="center"/>
                    <w:rPr>
                      <w:rFonts w:hint="default"/>
                      <w:color w:val="auto"/>
                      <w:lang w:val="en-US" w:eastAsia="zh-CN"/>
                    </w:rPr>
                  </w:pPr>
                  <w:r>
                    <w:rPr>
                      <w:rFonts w:hint="default"/>
                      <w:color w:val="auto"/>
                    </w:rPr>
                    <w:t>响应时间</w:t>
                  </w:r>
                  <w:r>
                    <w:rPr>
                      <w:rFonts w:hint="default"/>
                      <w:color w:val="auto"/>
                      <w:lang w:eastAsia="zh-CN"/>
                    </w:rPr>
                    <w:t>（</w:t>
                  </w:r>
                  <w:r>
                    <w:rPr>
                      <w:rFonts w:hint="default"/>
                      <w:color w:val="auto"/>
                      <w:lang w:val="en-US" w:eastAsia="zh-CN"/>
                    </w:rPr>
                    <w:t>最小脉冲时间）</w:t>
                  </w:r>
                </w:p>
              </w:tc>
              <w:tc>
                <w:tcPr>
                  <w:tcW w:w="5530" w:type="dxa"/>
                  <w:noWrap w:val="0"/>
                  <w:vAlign w:val="center"/>
                </w:tcPr>
                <w:p>
                  <w:pPr>
                    <w:jc w:val="center"/>
                    <w:rPr>
                      <w:rFonts w:hint="default"/>
                      <w:color w:val="auto"/>
                      <w:lang w:val="en-US" w:eastAsia="zh-CN"/>
                    </w:rPr>
                  </w:pPr>
                  <w:r>
                    <w:rPr>
                      <w:rFonts w:hint="default"/>
                      <w:color w:val="auto"/>
                      <w:lang w:val="en-US" w:eastAsia="zh-CN"/>
                    </w:rPr>
                    <w:t>30ms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6" w:type="dxa"/>
                  <w:noWrap w:val="0"/>
                  <w:vAlign w:val="center"/>
                </w:tcPr>
                <w:p>
                  <w:pPr>
                    <w:jc w:val="center"/>
                    <w:rPr>
                      <w:rFonts w:hint="eastAsia"/>
                      <w:color w:val="auto"/>
                      <w:lang w:val="en-US" w:eastAsia="zh-CN"/>
                    </w:rPr>
                  </w:pPr>
                  <w:r>
                    <w:rPr>
                      <w:rFonts w:hint="eastAsia"/>
                      <w:color w:val="auto"/>
                      <w:lang w:eastAsia="zh-CN"/>
                    </w:rPr>
                    <w:t>能量响应范围</w:t>
                  </w:r>
                </w:p>
              </w:tc>
              <w:tc>
                <w:tcPr>
                  <w:tcW w:w="5530" w:type="dxa"/>
                  <w:noWrap w:val="0"/>
                  <w:vAlign w:val="center"/>
                </w:tcPr>
                <w:p>
                  <w:pPr>
                    <w:jc w:val="center"/>
                    <w:rPr>
                      <w:rFonts w:hint="default"/>
                      <w:color w:val="auto"/>
                      <w:lang w:val="en-US" w:eastAsia="zh-CN"/>
                    </w:rPr>
                  </w:pPr>
                  <w:r>
                    <w:rPr>
                      <w:rFonts w:hint="eastAsia"/>
                      <w:color w:val="auto"/>
                      <w:lang w:eastAsia="zh-CN"/>
                    </w:rPr>
                    <w:t>15keV～10MeV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766" w:type="dxa"/>
                  <w:noWrap w:val="0"/>
                  <w:vAlign w:val="center"/>
                </w:tcPr>
                <w:p>
                  <w:pPr>
                    <w:jc w:val="center"/>
                    <w:rPr>
                      <w:rFonts w:hint="default"/>
                      <w:color w:val="auto"/>
                    </w:rPr>
                  </w:pPr>
                  <w:r>
                    <w:rPr>
                      <w:rFonts w:hint="eastAsia"/>
                      <w:color w:val="auto"/>
                      <w:lang w:eastAsia="zh-CN"/>
                    </w:rPr>
                    <w:t>检定</w:t>
                  </w:r>
                  <w:r>
                    <w:rPr>
                      <w:rFonts w:hint="default"/>
                      <w:color w:val="auto"/>
                    </w:rPr>
                    <w:t>单位</w:t>
                  </w:r>
                </w:p>
              </w:tc>
              <w:tc>
                <w:tcPr>
                  <w:tcW w:w="5530" w:type="dxa"/>
                  <w:noWrap w:val="0"/>
                  <w:vAlign w:val="center"/>
                </w:tcPr>
                <w:p>
                  <w:pPr>
                    <w:spacing w:line="460" w:lineRule="exact"/>
                    <w:jc w:val="center"/>
                    <w:rPr>
                      <w:rFonts w:hint="default"/>
                      <w:color w:val="auto"/>
                      <w:lang w:eastAsia="zh-CN"/>
                    </w:rPr>
                  </w:pPr>
                  <w:r>
                    <w:rPr>
                      <w:rFonts w:hint="eastAsia"/>
                      <w:color w:val="auto"/>
                      <w:lang w:eastAsia="zh-CN"/>
                    </w:rPr>
                    <w:t>江苏省计量科学研究院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6" w:type="dxa"/>
                  <w:noWrap w:val="0"/>
                  <w:vAlign w:val="center"/>
                </w:tcPr>
                <w:p>
                  <w:pPr>
                    <w:jc w:val="center"/>
                    <w:rPr>
                      <w:rFonts w:hint="default"/>
                      <w:color w:val="auto"/>
                    </w:rPr>
                  </w:pPr>
                  <w:r>
                    <w:rPr>
                      <w:rFonts w:hint="default"/>
                      <w:color w:val="auto"/>
                    </w:rPr>
                    <w:t>校准证书编号</w:t>
                  </w:r>
                </w:p>
              </w:tc>
              <w:tc>
                <w:tcPr>
                  <w:tcW w:w="5530" w:type="dxa"/>
                  <w:noWrap w:val="0"/>
                  <w:vAlign w:val="center"/>
                </w:tcPr>
                <w:p>
                  <w:pPr>
                    <w:spacing w:line="460" w:lineRule="exact"/>
                    <w:jc w:val="center"/>
                    <w:rPr>
                      <w:rFonts w:hint="default"/>
                      <w:color w:val="auto"/>
                      <w:lang w:val="en-US" w:eastAsia="zh-CN"/>
                    </w:rPr>
                  </w:pPr>
                  <w:r>
                    <w:rPr>
                      <w:rFonts w:hint="eastAsia"/>
                      <w:color w:val="auto"/>
                      <w:lang w:val="en-US" w:eastAsia="zh-CN"/>
                    </w:rPr>
                    <w:t>Y2021</w:t>
                  </w:r>
                  <w:r>
                    <w:rPr>
                      <w:rFonts w:hint="default"/>
                      <w:color w:val="auto"/>
                      <w:lang w:val="en-US" w:eastAsia="zh-CN"/>
                    </w:rPr>
                    <w:t>-</w:t>
                  </w:r>
                  <w:r>
                    <w:rPr>
                      <w:rFonts w:hint="eastAsia"/>
                      <w:color w:val="auto"/>
                      <w:lang w:val="en-US" w:eastAsia="zh-CN"/>
                    </w:rPr>
                    <w:t>0071746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6" w:type="dxa"/>
                  <w:noWrap w:val="0"/>
                  <w:vAlign w:val="center"/>
                </w:tcPr>
                <w:p>
                  <w:pPr>
                    <w:jc w:val="center"/>
                    <w:rPr>
                      <w:rFonts w:hint="default"/>
                      <w:color w:val="auto"/>
                    </w:rPr>
                  </w:pPr>
                  <w:r>
                    <w:rPr>
                      <w:rFonts w:hint="default"/>
                      <w:color w:val="auto"/>
                    </w:rPr>
                    <w:t>检定有效期</w:t>
                  </w:r>
                </w:p>
              </w:tc>
              <w:tc>
                <w:tcPr>
                  <w:tcW w:w="5530" w:type="dxa"/>
                  <w:noWrap w:val="0"/>
                  <w:vAlign w:val="center"/>
                </w:tcPr>
                <w:p>
                  <w:pPr>
                    <w:spacing w:line="460" w:lineRule="exact"/>
                    <w:jc w:val="center"/>
                    <w:rPr>
                      <w:rFonts w:hint="default"/>
                      <w:color w:val="auto"/>
                      <w:lang w:val="en-US" w:eastAsia="zh-CN"/>
                    </w:rPr>
                  </w:pPr>
                  <w:r>
                    <w:rPr>
                      <w:rFonts w:hint="eastAsia"/>
                      <w:color w:val="auto"/>
                      <w:lang w:val="en-US" w:eastAsia="zh-CN"/>
                    </w:rPr>
                    <w:t>2021.7.21～2022.7.20</w:t>
                  </w:r>
                </w:p>
              </w:tc>
            </w:tr>
          </w:tbl>
          <w:p>
            <w:pPr>
              <w:keepNext w:val="0"/>
              <w:keepLines w:val="0"/>
              <w:widowControl/>
              <w:suppressLineNumbers w:val="0"/>
              <w:jc w:val="left"/>
              <w:rPr>
                <w:rFonts w:hint="default"/>
                <w:color w:val="auto"/>
                <w:lang w:val="en-US" w:eastAsia="zh-CN"/>
              </w:rPr>
            </w:pPr>
            <w:r>
              <w:rPr>
                <w:rFonts w:hint="eastAsia"/>
                <w:color w:val="auto"/>
                <w:lang w:val="en-US" w:eastAsia="zh-CN"/>
              </w:rPr>
              <w:t xml:space="preserve"> （二）</w:t>
            </w:r>
            <w:r>
              <w:rPr>
                <w:rFonts w:hint="default"/>
                <w:color w:val="auto"/>
                <w:lang w:val="en-US" w:eastAsia="zh-CN"/>
              </w:rPr>
              <w:t>验收监测质量保证</w:t>
            </w:r>
            <w:r>
              <w:rPr>
                <w:rFonts w:hint="eastAsia"/>
                <w:color w:val="auto"/>
                <w:lang w:val="en-US" w:eastAsia="zh-CN"/>
              </w:rPr>
              <w:t>及质量</w:t>
            </w:r>
            <w:r>
              <w:rPr>
                <w:rFonts w:hint="default"/>
                <w:color w:val="auto"/>
                <w:lang w:val="en-US" w:eastAsia="zh-CN"/>
              </w:rPr>
              <w:t>控制</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lang w:val="en-US" w:eastAsia="zh-CN"/>
              </w:rPr>
            </w:pPr>
            <w:r>
              <w:rPr>
                <w:rFonts w:hint="eastAsia"/>
                <w:color w:val="auto"/>
                <w:lang w:val="en-US" w:eastAsia="zh-CN"/>
              </w:rPr>
              <w:t>（1）</w:t>
            </w:r>
            <w:r>
              <w:rPr>
                <w:rFonts w:hint="default"/>
                <w:color w:val="auto"/>
                <w:lang w:val="en-US" w:eastAsia="zh-CN"/>
              </w:rPr>
              <w:t>检测机构通过中国国家认证认可监督委员会资质认定。</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lang w:val="en-US" w:eastAsia="zh-CN"/>
              </w:rPr>
            </w:pPr>
            <w:r>
              <w:rPr>
                <w:rFonts w:hint="eastAsia"/>
                <w:color w:val="auto"/>
                <w:lang w:val="en-US" w:eastAsia="zh-CN"/>
              </w:rPr>
              <w:t>（2）</w:t>
            </w:r>
            <w:r>
              <w:rPr>
                <w:rFonts w:hint="default"/>
                <w:color w:val="auto"/>
                <w:lang w:val="en-US" w:eastAsia="zh-CN"/>
              </w:rPr>
              <w:t xml:space="preserve">合理布设监测点位，保证各监测点位布设的科学性和可比性。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lang w:val="en-US" w:eastAsia="zh-CN"/>
              </w:rPr>
            </w:pPr>
            <w:r>
              <w:rPr>
                <w:rFonts w:hint="eastAsia"/>
                <w:color w:val="auto"/>
                <w:lang w:val="en-US" w:eastAsia="zh-CN"/>
              </w:rPr>
              <w:t>（3）</w:t>
            </w:r>
            <w:r>
              <w:rPr>
                <w:rFonts w:hint="default"/>
                <w:color w:val="auto"/>
                <w:lang w:val="en-US" w:eastAsia="zh-CN"/>
              </w:rPr>
              <w:t xml:space="preserve">监测方法采用国家有关部门颁布的标准。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lang w:val="en-US" w:eastAsia="zh-CN"/>
              </w:rPr>
            </w:pPr>
            <w:r>
              <w:rPr>
                <w:rFonts w:hint="eastAsia"/>
                <w:color w:val="auto"/>
                <w:lang w:val="en-US" w:eastAsia="zh-CN"/>
              </w:rPr>
              <w:t>（4）</w:t>
            </w:r>
            <w:r>
              <w:rPr>
                <w:rFonts w:hint="default"/>
                <w:color w:val="auto"/>
                <w:lang w:val="en-US" w:eastAsia="zh-CN"/>
              </w:rPr>
              <w:t xml:space="preserve">监测仪器每年按规定定期经计量部门检定校准，合格后方可使用。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lang w:val="en-US" w:eastAsia="zh-CN"/>
              </w:rPr>
            </w:pPr>
            <w:r>
              <w:rPr>
                <w:rFonts w:hint="eastAsia"/>
                <w:color w:val="auto"/>
                <w:lang w:val="en-US" w:eastAsia="zh-CN"/>
              </w:rPr>
              <w:t>（5）</w:t>
            </w:r>
            <w:r>
              <w:rPr>
                <w:rFonts w:hint="default"/>
                <w:color w:val="auto"/>
                <w:lang w:val="en-US" w:eastAsia="zh-CN"/>
              </w:rPr>
              <w:t xml:space="preserve">对监测仪器进行各种比对。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lang w:val="en-US" w:eastAsia="zh-CN"/>
              </w:rPr>
            </w:pPr>
            <w:r>
              <w:rPr>
                <w:rFonts w:hint="eastAsia"/>
                <w:color w:val="auto"/>
                <w:lang w:val="en-US" w:eastAsia="zh-CN"/>
              </w:rPr>
              <w:t>（6）</w:t>
            </w:r>
            <w:r>
              <w:rPr>
                <w:rFonts w:hint="default"/>
                <w:color w:val="auto"/>
                <w:lang w:val="en-US" w:eastAsia="zh-CN"/>
              </w:rPr>
              <w:t xml:space="preserve">监测人员均持证上岗，每次监测至少2名监测人员。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lang w:val="en-US" w:eastAsia="zh-CN"/>
              </w:rPr>
            </w:pPr>
            <w:r>
              <w:rPr>
                <w:rFonts w:hint="eastAsia"/>
                <w:color w:val="auto"/>
                <w:lang w:val="en-US" w:eastAsia="zh-CN"/>
              </w:rPr>
              <w:t>（7）</w:t>
            </w:r>
            <w:r>
              <w:rPr>
                <w:rFonts w:hint="default"/>
                <w:color w:val="auto"/>
                <w:lang w:val="en-US" w:eastAsia="zh-CN"/>
              </w:rPr>
              <w:t xml:space="preserve">每次测量前、后均检查仪器的工作状态是否良好。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olor w:val="auto"/>
                <w:lang w:val="en-US" w:eastAsia="zh-CN"/>
              </w:rPr>
            </w:pPr>
            <w:r>
              <w:rPr>
                <w:rFonts w:hint="eastAsia"/>
                <w:color w:val="auto"/>
                <w:lang w:val="en-US" w:eastAsia="zh-CN"/>
              </w:rPr>
              <w:t>（8）</w:t>
            </w:r>
            <w:r>
              <w:rPr>
                <w:rFonts w:hint="default"/>
                <w:color w:val="auto"/>
                <w:lang w:val="en-US" w:eastAsia="zh-CN"/>
              </w:rPr>
              <w:t xml:space="preserve">由专业人员按操作规程操作仪器，并做好记录。 </w:t>
            </w:r>
          </w:p>
          <w:p>
            <w:pPr>
              <w:pStyle w:val="14"/>
              <w:widowControl w:val="0"/>
              <w:ind w:firstLine="630" w:firstLineChars="300"/>
              <w:jc w:val="both"/>
              <w:rPr>
                <w:color w:val="auto"/>
              </w:rPr>
            </w:pPr>
            <w:r>
              <w:rPr>
                <w:rFonts w:hint="eastAsia"/>
                <w:color w:val="auto"/>
                <w:lang w:val="en-US" w:eastAsia="zh-CN"/>
              </w:rPr>
              <w:t>（9）</w:t>
            </w:r>
            <w:r>
              <w:rPr>
                <w:rFonts w:hint="default"/>
                <w:color w:val="auto"/>
                <w:lang w:val="en-US" w:eastAsia="zh-CN"/>
              </w:rPr>
              <w:t>监测报告严格实行三级审核制度</w:t>
            </w:r>
          </w:p>
          <w:p>
            <w:pPr>
              <w:pStyle w:val="3"/>
              <w:widowControl w:val="0"/>
              <w:numPr>
                <w:ilvl w:val="0"/>
                <w:numId w:val="0"/>
              </w:numPr>
              <w:ind w:leftChars="0"/>
              <w:jc w:val="both"/>
              <w:outlineLvl w:val="0"/>
              <w:rPr>
                <w:color w:val="auto"/>
              </w:rPr>
            </w:pPr>
            <w:r>
              <w:rPr>
                <w:rFonts w:hint="eastAsia"/>
                <w:color w:val="auto"/>
                <w:lang w:val="en-US" w:eastAsia="zh-CN"/>
              </w:rPr>
              <w:t xml:space="preserve">     </w:t>
            </w:r>
            <w:r>
              <w:rPr>
                <w:color w:val="auto"/>
              </w:rPr>
              <w:drawing>
                <wp:inline distT="0" distB="0" distL="114300" distR="114300">
                  <wp:extent cx="5429885" cy="7684770"/>
                  <wp:effectExtent l="0" t="0" r="1841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5"/>
                          <a:stretch>
                            <a:fillRect/>
                          </a:stretch>
                        </pic:blipFill>
                        <pic:spPr>
                          <a:xfrm>
                            <a:off x="0" y="0"/>
                            <a:ext cx="5429885" cy="7684770"/>
                          </a:xfrm>
                          <a:prstGeom prst="rect">
                            <a:avLst/>
                          </a:prstGeom>
                          <a:noFill/>
                          <a:ln>
                            <a:noFill/>
                          </a:ln>
                        </pic:spPr>
                      </pic:pic>
                    </a:graphicData>
                  </a:graphic>
                </wp:inline>
              </w:drawing>
            </w:r>
          </w:p>
          <w:p>
            <w:pPr>
              <w:keepNext w:val="0"/>
              <w:keepLines w:val="0"/>
              <w:widowControl/>
              <w:suppressLineNumbers w:val="0"/>
              <w:jc w:val="center"/>
              <w:rPr>
                <w:rFonts w:hint="default"/>
                <w:color w:val="auto"/>
                <w:lang w:val="en-US" w:eastAsia="zh-CN"/>
              </w:rPr>
            </w:pPr>
            <w:r>
              <w:rPr>
                <w:rFonts w:hint="eastAsia"/>
                <w:color w:val="auto"/>
                <w:lang w:val="en-US" w:eastAsia="zh-CN"/>
              </w:rPr>
              <w:t xml:space="preserve">图5-1  </w:t>
            </w:r>
            <w:r>
              <w:rPr>
                <w:rFonts w:hint="eastAsia"/>
                <w:color w:val="auto"/>
                <w:lang w:eastAsia="zh-CN"/>
              </w:rPr>
              <w:t>江西同欣检测有限公司</w:t>
            </w:r>
            <w:r>
              <w:rPr>
                <w:rFonts w:hint="eastAsia"/>
                <w:color w:val="auto"/>
              </w:rPr>
              <w:t>资质证书</w:t>
            </w:r>
          </w:p>
          <w:p>
            <w:pPr>
              <w:widowControl w:val="0"/>
              <w:jc w:val="both"/>
              <w:rPr>
                <w:color w:val="auto"/>
              </w:rPr>
            </w:pPr>
            <w:r>
              <w:rPr>
                <w:rFonts w:hint="eastAsia"/>
                <w:color w:val="auto"/>
                <w:lang w:val="en-US" w:eastAsia="zh-CN"/>
              </w:rPr>
              <w:t xml:space="preserve">            </w:t>
            </w:r>
            <w:r>
              <w:rPr>
                <w:color w:val="auto"/>
              </w:rPr>
              <w:drawing>
                <wp:inline distT="0" distB="0" distL="114300" distR="114300">
                  <wp:extent cx="5339080" cy="7411720"/>
                  <wp:effectExtent l="0" t="0" r="13970" b="1778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46"/>
                          <a:stretch>
                            <a:fillRect/>
                          </a:stretch>
                        </pic:blipFill>
                        <pic:spPr>
                          <a:xfrm>
                            <a:off x="0" y="0"/>
                            <a:ext cx="5339080" cy="7411720"/>
                          </a:xfrm>
                          <a:prstGeom prst="rect">
                            <a:avLst/>
                          </a:prstGeom>
                          <a:noFill/>
                          <a:ln>
                            <a:noFill/>
                          </a:ln>
                        </pic:spPr>
                      </pic:pic>
                    </a:graphicData>
                  </a:graphic>
                </wp:inline>
              </w:drawing>
            </w:r>
          </w:p>
          <w:p>
            <w:pPr>
              <w:pStyle w:val="14"/>
              <w:widowControl w:val="0"/>
              <w:jc w:val="center"/>
              <w:rPr>
                <w:rFonts w:hint="eastAsia"/>
                <w:color w:val="auto"/>
                <w:lang w:val="en-US" w:eastAsia="zh-CN"/>
              </w:rPr>
            </w:pPr>
            <w:r>
              <w:rPr>
                <w:rFonts w:hint="eastAsia"/>
                <w:color w:val="auto"/>
                <w:lang w:val="en-US" w:eastAsia="zh-CN"/>
              </w:rPr>
              <w:t xml:space="preserve">图5-2 </w:t>
            </w:r>
            <w:r>
              <w:rPr>
                <w:rFonts w:hint="default"/>
                <w:color w:val="auto"/>
                <w:lang w:val="en-US" w:eastAsia="zh-CN"/>
              </w:rPr>
              <w:t>仪器检定/校准证书</w:t>
            </w:r>
            <w:bookmarkEnd w:id="24"/>
          </w:p>
          <w:p>
            <w:pPr>
              <w:pStyle w:val="2"/>
              <w:jc w:val="both"/>
              <w:rPr>
                <w:rFonts w:hint="eastAsia" w:eastAsia="宋体"/>
                <w:color w:val="auto"/>
                <w:lang w:val="en-US" w:eastAsia="zh-CN"/>
              </w:rPr>
            </w:pPr>
          </w:p>
        </w:tc>
      </w:tr>
    </w:tbl>
    <w:p>
      <w:pPr>
        <w:rPr>
          <w:color w:val="auto"/>
        </w:rPr>
      </w:pPr>
    </w:p>
    <w:p>
      <w:pPr>
        <w:pStyle w:val="4"/>
        <w:spacing w:line="360" w:lineRule="auto"/>
        <w:jc w:val="center"/>
        <w:rPr>
          <w:rFonts w:hint="eastAsia" w:ascii="仿宋" w:hAnsi="仿宋" w:eastAsia="仿宋"/>
          <w:color w:val="auto"/>
          <w:sz w:val="28"/>
          <w:szCs w:val="28"/>
        </w:rPr>
      </w:pPr>
      <w:bookmarkStart w:id="25" w:name="_Toc61439319"/>
    </w:p>
    <w:p>
      <w:pPr>
        <w:pStyle w:val="4"/>
        <w:spacing w:line="360" w:lineRule="auto"/>
        <w:jc w:val="center"/>
        <w:rPr>
          <w:rFonts w:hint="eastAsia" w:ascii="仿宋" w:hAnsi="仿宋" w:eastAsia="仿宋"/>
          <w:color w:val="auto"/>
          <w:sz w:val="28"/>
          <w:szCs w:val="28"/>
          <w:lang w:eastAsia="zh-CN"/>
        </w:rPr>
      </w:pPr>
      <w:r>
        <w:rPr>
          <w:rFonts w:hint="eastAsia" w:ascii="仿宋" w:hAnsi="仿宋" w:eastAsia="仿宋"/>
          <w:color w:val="auto"/>
          <w:sz w:val="28"/>
          <w:szCs w:val="28"/>
        </w:rPr>
        <w:t xml:space="preserve">表六  </w:t>
      </w:r>
      <w:bookmarkEnd w:id="25"/>
      <w:r>
        <w:rPr>
          <w:rFonts w:hint="eastAsia" w:ascii="仿宋" w:hAnsi="仿宋" w:eastAsia="仿宋"/>
          <w:color w:val="auto"/>
          <w:sz w:val="28"/>
          <w:szCs w:val="28"/>
          <w:lang w:eastAsia="zh-CN"/>
        </w:rPr>
        <w:t>验收监测内容</w:t>
      </w:r>
    </w:p>
    <w:tbl>
      <w:tblPr>
        <w:tblStyle w:val="39"/>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tcPr>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为掌握</w:t>
            </w:r>
            <w:r>
              <w:rPr>
                <w:rFonts w:hint="default" w:ascii="Times New Roman" w:hAnsi="Times New Roman" w:eastAsia="宋体" w:cs="Times New Roman"/>
                <w:color w:val="auto"/>
                <w:kern w:val="0"/>
                <w:sz w:val="24"/>
                <w:szCs w:val="24"/>
                <w:lang w:val="en-US" w:eastAsia="zh-CN" w:bidi="ar"/>
              </w:rPr>
              <w:t>南京鼓楼医院集团安庆市石化医院</w:t>
            </w:r>
            <w:r>
              <w:rPr>
                <w:rFonts w:hint="eastAsia" w:cs="Times New Roman"/>
                <w:color w:val="auto"/>
                <w:kern w:val="0"/>
                <w:sz w:val="24"/>
                <w:szCs w:val="24"/>
                <w:lang w:val="en-US" w:eastAsia="zh-CN" w:bidi="ar"/>
              </w:rPr>
              <w:t>DSA机房辐射水平，江西同欣检测技术有限公司于2022年5月10日对</w:t>
            </w:r>
            <w:r>
              <w:rPr>
                <w:rFonts w:hint="default" w:ascii="Times New Roman" w:hAnsi="Times New Roman" w:eastAsia="宋体" w:cs="Times New Roman"/>
                <w:color w:val="auto"/>
                <w:kern w:val="0"/>
                <w:sz w:val="24"/>
                <w:szCs w:val="24"/>
                <w:lang w:val="en-US" w:eastAsia="zh-CN" w:bidi="ar"/>
              </w:rPr>
              <w:t>南京鼓楼医院集团安庆市石化医院</w:t>
            </w:r>
            <w:r>
              <w:rPr>
                <w:rFonts w:hint="eastAsia" w:cs="Times New Roman"/>
                <w:color w:val="auto"/>
                <w:kern w:val="0"/>
                <w:sz w:val="24"/>
                <w:szCs w:val="24"/>
                <w:lang w:val="en-US" w:eastAsia="zh-CN" w:bidi="ar"/>
              </w:rPr>
              <w:t>DSA机房周围环境辐射水平进行了监测（监测报告见附件11）。</w:t>
            </w:r>
          </w:p>
          <w:p>
            <w:pPr>
              <w:keepNext w:val="0"/>
              <w:keepLines w:val="0"/>
              <w:widowControl/>
              <w:suppressLineNumbers w:val="0"/>
              <w:spacing w:line="360" w:lineRule="auto"/>
              <w:jc w:val="left"/>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kern w:val="2"/>
                <w:sz w:val="21"/>
                <w:szCs w:val="21"/>
                <w:lang w:val="en-US" w:eastAsia="zh-CN" w:bidi="ar-SA"/>
              </w:rPr>
              <w:t>1、</w:t>
            </w:r>
            <w:r>
              <w:rPr>
                <w:rFonts w:hint="default" w:ascii="Times New Roman" w:hAnsi="Times New Roman" w:eastAsia="宋体" w:cs="Times New Roman"/>
                <w:b/>
                <w:color w:val="auto"/>
                <w:kern w:val="2"/>
                <w:sz w:val="21"/>
                <w:szCs w:val="21"/>
                <w:lang w:val="en-US" w:eastAsia="zh-CN" w:bidi="ar-SA"/>
              </w:rPr>
              <w:t xml:space="preserve">验收监测因子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4"/>
                <w:szCs w:val="24"/>
                <w:lang w:val="en-US" w:eastAsia="zh-CN" w:bidi="ar"/>
              </w:rPr>
              <w:t>本项目的监测因子为X射线剂量率。</w:t>
            </w:r>
          </w:p>
          <w:p>
            <w:pPr>
              <w:keepNext w:val="0"/>
              <w:keepLines w:val="0"/>
              <w:widowControl/>
              <w:suppressLineNumbers w:val="0"/>
              <w:jc w:val="left"/>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kern w:val="2"/>
                <w:sz w:val="21"/>
                <w:szCs w:val="21"/>
                <w:lang w:val="en-US" w:eastAsia="zh-CN" w:bidi="ar-SA"/>
              </w:rPr>
              <w:t>2、</w:t>
            </w:r>
            <w:r>
              <w:rPr>
                <w:rFonts w:hint="default" w:ascii="Times New Roman" w:hAnsi="Times New Roman" w:eastAsia="宋体" w:cs="Times New Roman"/>
                <w:b/>
                <w:color w:val="auto"/>
                <w:kern w:val="2"/>
                <w:sz w:val="21"/>
                <w:szCs w:val="21"/>
                <w:lang w:val="en-US" w:eastAsia="zh-CN" w:bidi="ar-SA"/>
              </w:rPr>
              <w:t xml:space="preserve">验收监测内容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根据《辐射环境监测技术规范》</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61</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kern w:val="0"/>
                <w:sz w:val="24"/>
                <w:szCs w:val="24"/>
                <w:lang w:val="en-US" w:eastAsia="zh-CN" w:bidi="ar"/>
              </w:rPr>
              <w:t>的要求和《安庆市石化医院DSA项目环境影响报告表》的评价意见及批复，结合现场踏勘和本次验收项目的工艺特点，本项目竣工环境保护验收监测内容为：</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240" w:firstLineChars="1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检查项目在验收监测期间的运行工况是否符合建设项目竣工环境保护验收监测要求，监测正常运行工况条件下工作场所的辐射剂量率水平。</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240" w:firstLineChars="1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监测、检查落实环评报告表和环保部门批复提出的各项辐射污染防治措施情况及其效果。</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240" w:firstLineChars="1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检查已制定的各项辐射管理制度是否符合相关法规要求。</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24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检查项目建设、运行期间的环境管理情况。</w:t>
            </w:r>
          </w:p>
          <w:p>
            <w:pPr>
              <w:keepNext w:val="0"/>
              <w:keepLines w:val="0"/>
              <w:widowControl/>
              <w:suppressLineNumbers w:val="0"/>
              <w:jc w:val="left"/>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kern w:val="2"/>
                <w:sz w:val="21"/>
                <w:szCs w:val="21"/>
                <w:lang w:val="en-US" w:eastAsia="zh-CN" w:bidi="ar-SA"/>
              </w:rPr>
              <w:t>3、</w:t>
            </w:r>
            <w:r>
              <w:rPr>
                <w:rFonts w:hint="default" w:ascii="Times New Roman" w:hAnsi="Times New Roman" w:eastAsia="宋体" w:cs="Times New Roman"/>
                <w:b/>
                <w:color w:val="auto"/>
                <w:kern w:val="2"/>
                <w:sz w:val="21"/>
                <w:szCs w:val="21"/>
                <w:lang w:val="en-US" w:eastAsia="zh-CN" w:bidi="ar-SA"/>
              </w:rPr>
              <w:t xml:space="preserve">监测工况 </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验收监测时DSA正常工作、运行稳定，选择日常诊断使用的最大管电压、管电流进行监测，均符合建设项目竣工环境保护验收的工况要求。</w:t>
            </w:r>
          </w:p>
          <w:p>
            <w:pPr>
              <w:keepNext w:val="0"/>
              <w:keepLines w:val="0"/>
              <w:pageBreakBefore w:val="0"/>
              <w:widowControl w:val="0"/>
              <w:numPr>
                <w:ilvl w:val="0"/>
                <w:numId w:val="0"/>
              </w:numPr>
              <w:tabs>
                <w:tab w:val="left" w:pos="1401"/>
              </w:tabs>
              <w:kinsoku/>
              <w:wordWrap/>
              <w:overflowPunct/>
              <w:topLinePunct w:val="0"/>
              <w:autoSpaceDE/>
              <w:autoSpaceDN/>
              <w:bidi w:val="0"/>
              <w:adjustRightInd/>
              <w:snapToGrid/>
              <w:spacing w:line="360" w:lineRule="auto"/>
              <w:ind w:right="0" w:rightChars="0"/>
              <w:jc w:val="left"/>
              <w:textAlignment w:val="auto"/>
              <w:rPr>
                <w:rFonts w:hint="eastAsia" w:cs="Times New Roman"/>
                <w:b/>
                <w:bCs/>
                <w:color w:val="auto"/>
                <w:kern w:val="0"/>
                <w:sz w:val="21"/>
                <w:szCs w:val="21"/>
                <w:lang w:val="en-US" w:eastAsia="zh-CN" w:bidi="ar"/>
              </w:rPr>
            </w:pPr>
            <w:r>
              <w:rPr>
                <w:rFonts w:hint="eastAsia" w:cs="Times New Roman"/>
                <w:b/>
                <w:bCs/>
                <w:color w:val="auto"/>
                <w:kern w:val="0"/>
                <w:sz w:val="21"/>
                <w:szCs w:val="21"/>
                <w:lang w:val="en-US" w:eastAsia="zh-CN" w:bidi="ar"/>
              </w:rPr>
              <w:t>4、监测分析方法</w:t>
            </w:r>
          </w:p>
          <w:p>
            <w:pPr>
              <w:widowControl w:val="0"/>
              <w:spacing w:line="360" w:lineRule="auto"/>
              <w:ind w:firstLine="480" w:firstLineChars="200"/>
              <w:jc w:val="both"/>
              <w:rPr>
                <w:rFonts w:hint="default" w:ascii="Times New Roman" w:hAnsi="Times New Roman" w:eastAsia="宋体" w:cs="Times New Roman"/>
                <w:color w:val="auto"/>
                <w:kern w:val="0"/>
                <w:sz w:val="21"/>
                <w:szCs w:val="21"/>
                <w:lang w:val="en-US" w:eastAsia="zh-CN" w:bidi="ar"/>
              </w:rPr>
            </w:pPr>
            <w:r>
              <w:rPr>
                <w:rFonts w:ascii="Times New Roman" w:hAnsi="Times New Roman" w:eastAsia="宋体" w:cs="Times New Roman"/>
                <w:color w:val="auto"/>
              </w:rPr>
              <w:t>按</w:t>
            </w:r>
            <w:r>
              <w:rPr>
                <w:rFonts w:hint="default" w:ascii="Times New Roman" w:hAnsi="Times New Roman" w:eastAsia="宋体" w:cs="Times New Roman"/>
                <w:color w:val="auto"/>
              </w:rPr>
              <w:t>《辐射环境监测技术规范》（HJ</w:t>
            </w:r>
            <w:r>
              <w:rPr>
                <w:rFonts w:hint="default" w:ascii="Times New Roman" w:hAnsi="Times New Roman" w:eastAsia="宋体" w:cs="Times New Roman"/>
                <w:color w:val="auto"/>
                <w:lang w:val="en-US" w:eastAsia="zh-CN"/>
              </w:rPr>
              <w:t>61</w:t>
            </w:r>
            <w:r>
              <w:rPr>
                <w:rFonts w:hint="default" w:ascii="Times New Roman" w:hAnsi="Times New Roman" w:eastAsia="宋体" w:cs="Times New Roman"/>
                <w:color w:val="auto"/>
              </w:rPr>
              <w:t>-20</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1）</w:t>
            </w:r>
            <w:r>
              <w:rPr>
                <w:rFonts w:hint="eastAsia" w:cs="Times New Roman"/>
                <w:color w:val="auto"/>
                <w:lang w:eastAsia="zh-CN"/>
              </w:rPr>
              <w:t>、</w:t>
            </w:r>
            <w:r>
              <w:rPr>
                <w:color w:val="auto"/>
              </w:rPr>
              <w:t>《</w:t>
            </w:r>
            <w:r>
              <w:rPr>
                <w:rFonts w:hint="eastAsia"/>
                <w:color w:val="auto"/>
                <w:lang w:eastAsia="zh-CN"/>
              </w:rPr>
              <w:t>放射诊断放射防护要求</w:t>
            </w:r>
            <w:r>
              <w:rPr>
                <w:color w:val="auto"/>
              </w:rPr>
              <w:t>》（</w:t>
            </w:r>
            <w:r>
              <w:rPr>
                <w:rFonts w:hint="eastAsia"/>
                <w:color w:val="auto"/>
                <w:lang w:val="en-US" w:eastAsia="zh-CN"/>
              </w:rPr>
              <w:t>GBZ130-2020</w:t>
            </w:r>
            <w:r>
              <w:rPr>
                <w:color w:val="auto"/>
              </w:rPr>
              <w:t>）规定的分析方法中的有关规定进行。</w:t>
            </w:r>
          </w:p>
          <w:p>
            <w:pPr>
              <w:keepNext w:val="0"/>
              <w:keepLines w:val="0"/>
              <w:widowControl/>
              <w:suppressLineNumbers w:val="0"/>
              <w:jc w:val="left"/>
              <w:rPr>
                <w:rFonts w:hint="default" w:ascii="Times New Roman" w:hAnsi="Times New Roman" w:eastAsia="宋体" w:cs="Times New Roman"/>
                <w:b/>
                <w:color w:val="auto"/>
                <w:kern w:val="2"/>
                <w:sz w:val="21"/>
                <w:szCs w:val="21"/>
                <w:lang w:val="en-US" w:eastAsia="zh-CN" w:bidi="ar-SA"/>
              </w:rPr>
            </w:pPr>
            <w:r>
              <w:rPr>
                <w:rFonts w:hint="eastAsia" w:cs="Times New Roman"/>
                <w:b/>
                <w:color w:val="auto"/>
                <w:kern w:val="2"/>
                <w:sz w:val="21"/>
                <w:szCs w:val="21"/>
                <w:lang w:val="en-US" w:eastAsia="zh-CN" w:bidi="ar-SA"/>
              </w:rPr>
              <w:t>5、</w:t>
            </w:r>
            <w:r>
              <w:rPr>
                <w:rFonts w:hint="default" w:ascii="Times New Roman" w:hAnsi="Times New Roman" w:eastAsia="宋体" w:cs="Times New Roman"/>
                <w:b/>
                <w:color w:val="auto"/>
                <w:kern w:val="2"/>
                <w:sz w:val="21"/>
                <w:szCs w:val="21"/>
                <w:lang w:val="en-US" w:eastAsia="zh-CN" w:bidi="ar-SA"/>
              </w:rPr>
              <w:t xml:space="preserve">监测布点 </w:t>
            </w:r>
          </w:p>
          <w:p>
            <w:pPr>
              <w:widowControl w:val="0"/>
              <w:spacing w:line="360" w:lineRule="auto"/>
              <w:ind w:firstLine="480" w:firstLineChars="200"/>
              <w:jc w:val="both"/>
              <w:rPr>
                <w:rFonts w:hint="eastAsia" w:ascii="Times New Roman" w:hAnsi="Times New Roman" w:cs="Times New Roman"/>
                <w:color w:val="auto"/>
                <w:lang w:val="en-US" w:eastAsia="zh-CN"/>
              </w:rPr>
            </w:pPr>
            <w:r>
              <w:rPr>
                <w:rFonts w:hint="default" w:ascii="Times New Roman" w:hAnsi="Times New Roman" w:eastAsia="宋体" w:cs="Times New Roman"/>
                <w:color w:val="auto"/>
                <w:lang w:val="en-US" w:eastAsia="zh-CN"/>
              </w:rPr>
              <w:t>参照《辐射环境监测技术规范》（HJ61-2021）中的方法布设监测点。本次验收项目在扫描间周边、DSA所在场地周边以及医院主要入口各布设1个监测点位。根据上述布点原则与方法，本次验收工程各监测点位布置如图</w:t>
            </w:r>
            <w:r>
              <w:rPr>
                <w:rFonts w:hint="eastAsia" w:ascii="Times New Roman" w:hAnsi="Times New Roman" w:eastAsia="宋体" w:cs="Times New Roman"/>
                <w:color w:val="auto"/>
                <w:lang w:val="en-US" w:eastAsia="zh-CN"/>
              </w:rPr>
              <w:t>6-1</w:t>
            </w:r>
            <w:r>
              <w:rPr>
                <w:rFonts w:hint="default" w:ascii="Times New Roman" w:hAnsi="Times New Roman" w:eastAsia="宋体" w:cs="Times New Roman"/>
                <w:color w:val="auto"/>
                <w:lang w:val="en-US" w:eastAsia="zh-CN"/>
              </w:rPr>
              <w:t>所示</w:t>
            </w:r>
            <w:r>
              <w:rPr>
                <w:rFonts w:hint="eastAsia" w:ascii="Times New Roman" w:hAnsi="Times New Roman" w:cs="Times New Roman"/>
                <w:color w:val="auto"/>
                <w:lang w:val="en-US" w:eastAsia="zh-CN"/>
              </w:rPr>
              <w:t>。</w:t>
            </w:r>
          </w:p>
          <w:p>
            <w:pPr>
              <w:pStyle w:val="14"/>
              <w:widowControl w:val="0"/>
              <w:jc w:val="both"/>
              <w:rPr>
                <w:color w:val="auto"/>
              </w:rPr>
            </w:pPr>
            <w:r>
              <w:rPr>
                <w:rFonts w:hint="eastAsia"/>
                <w:color w:val="auto"/>
                <w:lang w:val="en-US" w:eastAsia="zh-CN"/>
              </w:rPr>
              <w:t xml:space="preserve">             </w:t>
            </w:r>
            <w:r>
              <w:rPr>
                <w:color w:val="auto"/>
              </w:rPr>
              <w:drawing>
                <wp:inline distT="0" distB="0" distL="114300" distR="114300">
                  <wp:extent cx="4328160" cy="4293235"/>
                  <wp:effectExtent l="0" t="0" r="15240" b="1206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7"/>
                          <a:stretch>
                            <a:fillRect/>
                          </a:stretch>
                        </pic:blipFill>
                        <pic:spPr>
                          <a:xfrm>
                            <a:off x="0" y="0"/>
                            <a:ext cx="4328160" cy="4293235"/>
                          </a:xfrm>
                          <a:prstGeom prst="rect">
                            <a:avLst/>
                          </a:prstGeom>
                          <a:noFill/>
                          <a:ln>
                            <a:noFill/>
                          </a:ln>
                        </pic:spPr>
                      </pic:pic>
                    </a:graphicData>
                  </a:graphic>
                </wp:inline>
              </w:drawing>
            </w:r>
          </w:p>
          <w:p>
            <w:pPr>
              <w:widowControl w:val="0"/>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图</w:t>
            </w:r>
            <w:r>
              <w:rPr>
                <w:rFonts w:hint="eastAsia" w:cs="Times New Roman"/>
                <w:b/>
                <w:bCs/>
                <w:color w:val="auto"/>
                <w:lang w:val="en-US" w:eastAsia="zh-CN"/>
              </w:rPr>
              <w:t>6</w:t>
            </w:r>
            <w:r>
              <w:rPr>
                <w:rFonts w:hint="eastAsia" w:ascii="Times New Roman" w:hAnsi="Times New Roman" w:eastAsia="宋体" w:cs="Times New Roman"/>
                <w:b/>
                <w:bCs/>
                <w:color w:val="auto"/>
                <w:lang w:val="en-US" w:eastAsia="zh-CN"/>
              </w:rPr>
              <w:t xml:space="preserve">-1  </w:t>
            </w:r>
            <w:r>
              <w:rPr>
                <w:rFonts w:hint="default" w:ascii="Times New Roman" w:hAnsi="Times New Roman" w:eastAsia="宋体" w:cs="Times New Roman"/>
                <w:b/>
                <w:bCs/>
                <w:color w:val="auto"/>
                <w:lang w:val="en-US" w:eastAsia="zh-CN"/>
              </w:rPr>
              <w:t>辐射环境监测点位图</w:t>
            </w:r>
          </w:p>
          <w:p>
            <w:pPr>
              <w:widowControl w:val="0"/>
              <w:snapToGrid w:val="0"/>
              <w:spacing w:line="360" w:lineRule="auto"/>
              <w:ind w:firstLine="480" w:firstLineChars="200"/>
              <w:jc w:val="both"/>
              <w:rPr>
                <w:rFonts w:hint="eastAsia" w:ascii="Times New Roman" w:hAnsi="Times New Roman" w:eastAsia="宋体" w:cs="Times New Roman"/>
                <w:color w:val="auto"/>
                <w:sz w:val="24"/>
                <w:szCs w:val="24"/>
                <w:lang w:eastAsia="zh-CN"/>
              </w:rPr>
            </w:pPr>
          </w:p>
          <w:p>
            <w:pPr>
              <w:widowControl w:val="0"/>
              <w:jc w:val="both"/>
              <w:rPr>
                <w:rFonts w:hint="eastAsia"/>
                <w:color w:val="auto"/>
              </w:rPr>
            </w:pPr>
          </w:p>
          <w:p>
            <w:pPr>
              <w:pStyle w:val="3"/>
              <w:widowControl w:val="0"/>
              <w:jc w:val="both"/>
              <w:outlineLvl w:val="0"/>
              <w:rPr>
                <w:color w:val="auto"/>
              </w:rPr>
            </w:pPr>
          </w:p>
          <w:p>
            <w:pPr>
              <w:widowControl w:val="0"/>
              <w:jc w:val="both"/>
              <w:rPr>
                <w:color w:val="auto"/>
              </w:rPr>
            </w:pPr>
          </w:p>
          <w:p>
            <w:pPr>
              <w:pStyle w:val="14"/>
              <w:widowControl w:val="0"/>
              <w:jc w:val="both"/>
              <w:rPr>
                <w:color w:val="auto"/>
              </w:rPr>
            </w:pPr>
          </w:p>
          <w:p>
            <w:pPr>
              <w:widowControl w:val="0"/>
              <w:jc w:val="both"/>
              <w:rPr>
                <w:color w:val="auto"/>
              </w:rPr>
            </w:pPr>
          </w:p>
          <w:p>
            <w:pPr>
              <w:pStyle w:val="2"/>
              <w:jc w:val="both"/>
              <w:rPr>
                <w:color w:val="auto"/>
              </w:rPr>
            </w:pPr>
          </w:p>
          <w:p>
            <w:pPr>
              <w:pStyle w:val="2"/>
              <w:jc w:val="both"/>
              <w:rPr>
                <w:color w:val="auto"/>
              </w:rPr>
            </w:pPr>
          </w:p>
          <w:p>
            <w:pPr>
              <w:pStyle w:val="2"/>
              <w:jc w:val="both"/>
              <w:rPr>
                <w:color w:val="auto"/>
              </w:rPr>
            </w:pPr>
          </w:p>
          <w:p>
            <w:pPr>
              <w:pStyle w:val="2"/>
              <w:jc w:val="both"/>
              <w:rPr>
                <w:color w:val="auto"/>
              </w:rPr>
            </w:pPr>
          </w:p>
          <w:p>
            <w:pPr>
              <w:pStyle w:val="2"/>
              <w:jc w:val="both"/>
              <w:rPr>
                <w:color w:val="auto"/>
              </w:rPr>
            </w:pPr>
          </w:p>
          <w:p>
            <w:pPr>
              <w:pStyle w:val="14"/>
              <w:widowControl w:val="0"/>
              <w:jc w:val="both"/>
              <w:rPr>
                <w:color w:val="auto"/>
              </w:rPr>
            </w:pPr>
          </w:p>
          <w:p>
            <w:pPr>
              <w:widowControl w:val="0"/>
              <w:jc w:val="both"/>
              <w:rPr>
                <w:color w:val="auto"/>
              </w:rPr>
            </w:pPr>
          </w:p>
          <w:p>
            <w:pPr>
              <w:widowControl w:val="0"/>
              <w:jc w:val="both"/>
              <w:rPr>
                <w:color w:val="auto"/>
              </w:rPr>
            </w:pPr>
          </w:p>
        </w:tc>
      </w:tr>
    </w:tbl>
    <w:p>
      <w:pPr>
        <w:rPr>
          <w:color w:val="auto"/>
        </w:rPr>
      </w:pPr>
    </w:p>
    <w:p>
      <w:pPr>
        <w:pStyle w:val="4"/>
        <w:spacing w:line="360" w:lineRule="auto"/>
        <w:jc w:val="center"/>
        <w:rPr>
          <w:rFonts w:ascii="仿宋" w:hAnsi="仿宋" w:eastAsia="仿宋"/>
          <w:color w:val="auto"/>
          <w:sz w:val="28"/>
          <w:szCs w:val="28"/>
        </w:rPr>
      </w:pPr>
      <w:bookmarkStart w:id="26" w:name="_Toc61439326"/>
      <w:r>
        <w:rPr>
          <w:rFonts w:hint="eastAsia" w:ascii="仿宋" w:hAnsi="仿宋" w:eastAsia="仿宋"/>
          <w:color w:val="auto"/>
          <w:sz w:val="28"/>
          <w:szCs w:val="28"/>
        </w:rPr>
        <w:t xml:space="preserve">表七  </w:t>
      </w:r>
      <w:r>
        <w:rPr>
          <w:rFonts w:hint="eastAsia" w:ascii="仿宋" w:hAnsi="仿宋" w:eastAsia="仿宋"/>
          <w:color w:val="auto"/>
          <w:sz w:val="28"/>
          <w:szCs w:val="28"/>
          <w:lang w:eastAsia="zh-CN"/>
        </w:rPr>
        <w:t>验收监测结果</w:t>
      </w:r>
      <w:bookmarkEnd w:id="26"/>
    </w:p>
    <w:tbl>
      <w:tblPr>
        <w:tblStyle w:val="39"/>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tcPr>
          <w:p>
            <w:pPr>
              <w:pStyle w:val="2"/>
              <w:numPr>
                <w:ilvl w:val="0"/>
                <w:numId w:val="0"/>
              </w:numPr>
              <w:spacing w:line="360" w:lineRule="auto"/>
              <w:jc w:val="both"/>
              <w:rPr>
                <w:rFonts w:hint="eastAsia" w:ascii="Times New Roman" w:cs="Times New Roman"/>
                <w:b/>
                <w:bCs w:val="0"/>
                <w:color w:val="auto"/>
                <w:kern w:val="0"/>
                <w:sz w:val="21"/>
                <w:szCs w:val="21"/>
                <w:lang w:val="en-US" w:eastAsia="zh-CN" w:bidi="ar"/>
              </w:rPr>
            </w:pPr>
            <w:bookmarkStart w:id="27" w:name="_Toc61439327"/>
            <w:r>
              <w:rPr>
                <w:rFonts w:hint="eastAsia" w:ascii="Times New Roman" w:cs="Times New Roman"/>
                <w:b/>
                <w:bCs w:val="0"/>
                <w:color w:val="auto"/>
                <w:kern w:val="0"/>
                <w:sz w:val="21"/>
                <w:szCs w:val="21"/>
                <w:lang w:val="en-US" w:eastAsia="zh-CN" w:bidi="ar"/>
              </w:rPr>
              <w:t>辐射影响验收监测</w:t>
            </w:r>
          </w:p>
          <w:p>
            <w:pPr>
              <w:pStyle w:val="2"/>
              <w:numPr>
                <w:ilvl w:val="0"/>
                <w:numId w:val="0"/>
              </w:numPr>
              <w:spacing w:line="360" w:lineRule="auto"/>
              <w:jc w:val="both"/>
              <w:rPr>
                <w:rFonts w:hint="eastAsia" w:ascii="Times New Roman" w:cs="Times New Roman"/>
                <w:b/>
                <w:bCs w:val="0"/>
                <w:color w:val="auto"/>
                <w:kern w:val="0"/>
                <w:sz w:val="21"/>
                <w:szCs w:val="21"/>
                <w:lang w:val="en-US" w:eastAsia="zh-CN" w:bidi="ar"/>
              </w:rPr>
            </w:pPr>
            <w:r>
              <w:rPr>
                <w:rFonts w:hint="eastAsia" w:ascii="Times New Roman" w:cs="Times New Roman"/>
                <w:b/>
                <w:bCs w:val="0"/>
                <w:color w:val="auto"/>
                <w:kern w:val="0"/>
                <w:sz w:val="21"/>
                <w:szCs w:val="21"/>
                <w:lang w:val="en-US" w:eastAsia="zh-CN" w:bidi="ar"/>
              </w:rPr>
              <w:t>（一）验收监测期间生产工况记录</w:t>
            </w:r>
          </w:p>
          <w:p>
            <w:pPr>
              <w:pStyle w:val="2"/>
              <w:numPr>
                <w:ilvl w:val="0"/>
                <w:numId w:val="0"/>
              </w:numPr>
              <w:spacing w:line="360" w:lineRule="auto"/>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验收监测时DSA正常工作、运行稳定，选择日常诊断使用的管电压、管电流进行监测，均符合建设项目竣工环境保护验收的工况要求。</w:t>
            </w:r>
          </w:p>
          <w:p>
            <w:pPr>
              <w:pStyle w:val="2"/>
              <w:numPr>
                <w:ilvl w:val="0"/>
                <w:numId w:val="0"/>
              </w:numPr>
              <w:spacing w:line="360" w:lineRule="auto"/>
              <w:jc w:val="both"/>
              <w:rPr>
                <w:color w:val="auto"/>
              </w:rPr>
            </w:pPr>
            <w:r>
              <w:rPr>
                <w:rFonts w:hint="default" w:ascii="Times New Roman" w:hAnsi="Times New Roman" w:eastAsia="宋体" w:cs="Times New Roman"/>
                <w:color w:val="auto"/>
                <w:kern w:val="0"/>
                <w:sz w:val="21"/>
                <w:szCs w:val="21"/>
                <w:lang w:val="en-US" w:eastAsia="zh-CN" w:bidi="ar"/>
              </w:rPr>
              <w:drawing>
                <wp:inline distT="0" distB="0" distL="114300" distR="114300">
                  <wp:extent cx="2828925" cy="3771900"/>
                  <wp:effectExtent l="0" t="0" r="9525" b="0"/>
                  <wp:docPr id="49" name="图片 49" descr="ac58b5ad2eb6e96990c57a43f7f1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c58b5ad2eb6e96990c57a43f7f143c"/>
                          <pic:cNvPicPr>
                            <a:picLocks noChangeAspect="1"/>
                          </pic:cNvPicPr>
                        </pic:nvPicPr>
                        <pic:blipFill>
                          <a:blip r:embed="rId48"/>
                          <a:stretch>
                            <a:fillRect/>
                          </a:stretch>
                        </pic:blipFill>
                        <pic:spPr>
                          <a:xfrm>
                            <a:off x="0" y="0"/>
                            <a:ext cx="2828925" cy="3771900"/>
                          </a:xfrm>
                          <a:prstGeom prst="rect">
                            <a:avLst/>
                          </a:prstGeom>
                        </pic:spPr>
                      </pic:pic>
                    </a:graphicData>
                  </a:graphic>
                </wp:inline>
              </w:drawing>
            </w:r>
            <w:r>
              <w:rPr>
                <w:rFonts w:hint="eastAsia" w:ascii="Times New Roman" w:eastAsia="宋体" w:cs="Times New Roman"/>
                <w:color w:val="auto"/>
                <w:kern w:val="0"/>
                <w:sz w:val="21"/>
                <w:szCs w:val="21"/>
                <w:lang w:val="en-US" w:eastAsia="zh-CN" w:bidi="ar"/>
              </w:rPr>
              <w:t xml:space="preserve">      </w:t>
            </w:r>
            <w:r>
              <w:rPr>
                <w:color w:val="auto"/>
              </w:rPr>
              <w:drawing>
                <wp:inline distT="0" distB="0" distL="114300" distR="114300">
                  <wp:extent cx="2222500" cy="3732530"/>
                  <wp:effectExtent l="0" t="0" r="6350" b="127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49"/>
                          <a:stretch>
                            <a:fillRect/>
                          </a:stretch>
                        </pic:blipFill>
                        <pic:spPr>
                          <a:xfrm>
                            <a:off x="0" y="0"/>
                            <a:ext cx="2222500" cy="3732530"/>
                          </a:xfrm>
                          <a:prstGeom prst="rect">
                            <a:avLst/>
                          </a:prstGeom>
                          <a:noFill/>
                          <a:ln>
                            <a:noFill/>
                          </a:ln>
                        </pic:spPr>
                      </pic:pic>
                    </a:graphicData>
                  </a:graphic>
                </wp:inline>
              </w:drawing>
            </w:r>
          </w:p>
          <w:p>
            <w:pPr>
              <w:pStyle w:val="2"/>
              <w:numPr>
                <w:ilvl w:val="0"/>
                <w:numId w:val="0"/>
              </w:numPr>
              <w:spacing w:line="360" w:lineRule="auto"/>
              <w:ind w:firstLine="2520" w:firstLineChars="120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图</w:t>
            </w:r>
            <w:r>
              <w:rPr>
                <w:rFonts w:hint="eastAsia" w:ascii="宋体" w:hAnsi="宋体" w:eastAsia="宋体" w:cs="宋体"/>
                <w:b/>
                <w:bCs/>
                <w:color w:val="auto"/>
                <w:sz w:val="21"/>
                <w:szCs w:val="21"/>
                <w:lang w:val="en-US" w:eastAsia="zh-CN"/>
              </w:rPr>
              <w:t xml:space="preserve">7-1  </w:t>
            </w:r>
            <w:r>
              <w:rPr>
                <w:rFonts w:hint="eastAsia" w:ascii="宋体" w:hAnsi="宋体" w:eastAsia="宋体" w:cs="宋体"/>
                <w:b/>
                <w:bCs/>
                <w:color w:val="auto"/>
                <w:sz w:val="21"/>
                <w:szCs w:val="21"/>
                <w:lang w:eastAsia="zh-CN"/>
              </w:rPr>
              <w:t>监测时实时显示的工况示例</w:t>
            </w:r>
          </w:p>
          <w:p>
            <w:pPr>
              <w:pStyle w:val="14"/>
              <w:widowControl w:val="0"/>
              <w:jc w:val="both"/>
              <w:rPr>
                <w:rFonts w:hint="default"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DSA机房检测结果</w:t>
            </w:r>
          </w:p>
          <w:p>
            <w:pPr>
              <w:keepNext w:val="0"/>
              <w:keepLines w:val="0"/>
              <w:pageBreakBefore w:val="0"/>
              <w:widowControl w:val="0"/>
              <w:tabs>
                <w:tab w:val="left" w:pos="1401"/>
              </w:tabs>
              <w:kinsoku/>
              <w:wordWrap/>
              <w:overflowPunct/>
              <w:topLinePunct w:val="0"/>
              <w:autoSpaceDE/>
              <w:autoSpaceDN/>
              <w:bidi w:val="0"/>
              <w:adjustRightInd/>
              <w:snapToGrid/>
              <w:spacing w:line="360" w:lineRule="auto"/>
              <w:ind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
              </w:rPr>
              <w:t>表</w:t>
            </w:r>
            <w:r>
              <w:rPr>
                <w:rFonts w:hint="eastAsia" w:cs="Times New Roman"/>
                <w:b/>
                <w:bCs/>
                <w:color w:val="auto"/>
                <w:kern w:val="0"/>
                <w:sz w:val="21"/>
                <w:szCs w:val="21"/>
                <w:lang w:val="en-US" w:eastAsia="zh-CN" w:bidi="ar"/>
              </w:rPr>
              <w:t>7</w:t>
            </w:r>
            <w:r>
              <w:rPr>
                <w:rFonts w:hint="eastAsia" w:ascii="Times New Roman" w:hAnsi="Times New Roman" w:eastAsia="宋体" w:cs="Times New Roman"/>
                <w:b/>
                <w:bCs/>
                <w:color w:val="auto"/>
                <w:kern w:val="0"/>
                <w:sz w:val="21"/>
                <w:szCs w:val="21"/>
                <w:lang w:val="en-US" w:eastAsia="zh-CN" w:bidi="ar"/>
              </w:rPr>
              <w:t xml:space="preserve">-1  </w:t>
            </w:r>
            <w:r>
              <w:rPr>
                <w:rFonts w:hint="default" w:ascii="Times New Roman" w:hAnsi="Times New Roman" w:eastAsia="宋体" w:cs="Times New Roman"/>
                <w:b/>
                <w:bCs/>
                <w:color w:val="auto"/>
                <w:kern w:val="0"/>
                <w:sz w:val="21"/>
                <w:szCs w:val="21"/>
                <w:lang w:val="en-US" w:eastAsia="zh-CN" w:bidi="ar"/>
              </w:rPr>
              <w:t>DSA机房周围X-γ辐射剂量当量率检测结果</w:t>
            </w:r>
          </w:p>
          <w:tbl>
            <w:tblPr>
              <w:tblStyle w:val="38"/>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3366"/>
              <w:gridCol w:w="953"/>
              <w:gridCol w:w="954"/>
              <w:gridCol w:w="953"/>
              <w:gridCol w:w="836"/>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exact"/>
                <w:jc w:val="center"/>
              </w:trPr>
              <w:tc>
                <w:tcPr>
                  <w:tcW w:w="9040" w:type="dxa"/>
                  <w:gridSpan w:val="7"/>
                  <w:tcBorders>
                    <w:tl2br w:val="nil"/>
                    <w:tr2bl w:val="nil"/>
                  </w:tcBorders>
                  <w:noWrap w:val="0"/>
                  <w:vAlign w:val="center"/>
                </w:tcPr>
                <w:p>
                  <w:pPr>
                    <w:ind w:firstLine="480" w:firstLineChars="200"/>
                    <w:jc w:val="both"/>
                    <w:rPr>
                      <w:rFonts w:hint="eastAsia"/>
                      <w:color w:val="auto"/>
                      <w:lang w:val="en-US" w:eastAsia="zh-CN"/>
                    </w:rPr>
                  </w:pPr>
                  <w:r>
                    <w:rPr>
                      <w:rFonts w:hint="default"/>
                      <w:color w:val="auto"/>
                      <w:lang w:val="en-US" w:eastAsia="zh-CN"/>
                    </w:rPr>
                    <w:t>检测位置：南京鼓楼医院集团安庆市石化医院</w:t>
                  </w:r>
                  <w:r>
                    <w:rPr>
                      <w:rFonts w:hint="eastAsia"/>
                      <w:color w:val="auto"/>
                      <w:lang w:val="en-US" w:eastAsia="zh-CN"/>
                    </w:rPr>
                    <w:t>影像中心DSA机房</w:t>
                  </w:r>
                </w:p>
                <w:p>
                  <w:pPr>
                    <w:pStyle w:val="14"/>
                    <w:ind w:firstLine="420" w:firstLineChars="200"/>
                    <w:rPr>
                      <w:rFonts w:hint="default"/>
                      <w:color w:val="auto"/>
                      <w:lang w:val="en-US" w:eastAsia="zh-CN"/>
                    </w:rPr>
                  </w:pPr>
                  <w:r>
                    <w:rPr>
                      <w:rFonts w:hint="eastAsia" w:ascii="Times New Roman" w:hAnsi="Times New Roman" w:eastAsia="宋体" w:cs="Times New Roman"/>
                      <w:color w:val="auto"/>
                      <w:kern w:val="2"/>
                      <w:sz w:val="21"/>
                      <w:szCs w:val="24"/>
                      <w:lang w:val="en-US" w:eastAsia="zh-CN" w:bidi="ar-SA"/>
                    </w:rPr>
                    <w:t>检测条件：</w:t>
                  </w:r>
                  <w:r>
                    <w:rPr>
                      <w:rFonts w:hint="eastAsia" w:ascii="Times New Roman" w:hAnsi="Times New Roman" w:cs="Times New Roman"/>
                      <w:color w:val="auto"/>
                      <w:kern w:val="2"/>
                      <w:sz w:val="21"/>
                      <w:szCs w:val="24"/>
                      <w:lang w:val="en-US" w:eastAsia="zh-CN" w:bidi="ar-SA"/>
                    </w:rPr>
                    <w:t>标准水膜+1.5mm铜板，自动曝光</w:t>
                  </w:r>
                  <w:r>
                    <w:rPr>
                      <w:rFonts w:hint="eastAsia" w:cs="Times New Roman"/>
                      <w:color w:val="auto"/>
                      <w:kern w:val="2"/>
                      <w:sz w:val="21"/>
                      <w:szCs w:val="24"/>
                      <w:lang w:val="en-US" w:eastAsia="zh-CN" w:bidi="ar-SA"/>
                    </w:rPr>
                    <w:t>（透视）</w:t>
                  </w:r>
                  <w:r>
                    <w:rPr>
                      <w:rFonts w:hint="eastAsia" w:ascii="Times New Roman" w:hAnsi="Times New Roman" w:cs="Times New Roman"/>
                      <w:color w:val="auto"/>
                      <w:kern w:val="2"/>
                      <w:sz w:val="21"/>
                      <w:szCs w:val="24"/>
                      <w:lang w:val="en-US" w:eastAsia="zh-CN" w:bidi="ar-SA"/>
                    </w:rPr>
                    <w:t>，有用线束朝上：21.8mA；有用线束朝东：20.4mA；有用线束朝西：20.5mA。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6" w:type="dxa"/>
                  <w:vMerge w:val="restart"/>
                  <w:tcBorders>
                    <w:tl2br w:val="nil"/>
                    <w:tr2bl w:val="nil"/>
                  </w:tcBorders>
                  <w:noWrap w:val="0"/>
                  <w:vAlign w:val="center"/>
                </w:tcPr>
                <w:p>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rPr>
                    <w:t>序号</w:t>
                  </w:r>
                </w:p>
              </w:tc>
              <w:tc>
                <w:tcPr>
                  <w:tcW w:w="3366" w:type="dxa"/>
                  <w:vMerge w:val="restart"/>
                  <w:tcBorders>
                    <w:tl2br w:val="nil"/>
                    <w:tr2bl w:val="nil"/>
                  </w:tcBorders>
                  <w:noWrap w:val="0"/>
                  <w:vAlign w:val="center"/>
                </w:tcPr>
                <w:p>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rPr>
                    <w:t>检测点位</w:t>
                  </w:r>
                </w:p>
              </w:tc>
              <w:tc>
                <w:tcPr>
                  <w:tcW w:w="3696" w:type="dxa"/>
                  <w:gridSpan w:val="4"/>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检测结果</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μSv/h</w:t>
                  </w:r>
                  <w:r>
                    <w:rPr>
                      <w:rFonts w:hint="default" w:ascii="Times New Roman" w:hAnsi="Times New Roman" w:eastAsia="宋体" w:cs="Times New Roman"/>
                      <w:b/>
                      <w:color w:val="auto"/>
                      <w:sz w:val="21"/>
                      <w:szCs w:val="21"/>
                      <w:lang w:eastAsia="zh-CN"/>
                    </w:rPr>
                    <w:t>）</w:t>
                  </w:r>
                </w:p>
              </w:tc>
              <w:tc>
                <w:tcPr>
                  <w:tcW w:w="1252" w:type="dxa"/>
                  <w:vMerge w:val="restart"/>
                  <w:tcBorders>
                    <w:tl2br w:val="nil"/>
                    <w:tr2bl w:val="nil"/>
                  </w:tcBorders>
                  <w:noWrap w:val="0"/>
                  <w:vAlign w:val="center"/>
                </w:tcPr>
                <w:p>
                  <w:pPr>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26"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3366"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95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有用线束朝上</w:t>
                  </w:r>
                </w:p>
              </w:tc>
              <w:tc>
                <w:tcPr>
                  <w:tcW w:w="95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有用线束朝东</w:t>
                  </w:r>
                </w:p>
              </w:tc>
              <w:tc>
                <w:tcPr>
                  <w:tcW w:w="95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有用线束朝西</w:t>
                  </w:r>
                </w:p>
              </w:tc>
              <w:tc>
                <w:tcPr>
                  <w:tcW w:w="83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运行前</w:t>
                  </w:r>
                </w:p>
              </w:tc>
              <w:tc>
                <w:tcPr>
                  <w:tcW w:w="125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1</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玻璃观察窗左侧</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0.11</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1252"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Arial" w:hAnsi="Arial" w:eastAsia="宋体" w:cs="Arial"/>
                      <w:b w:val="0"/>
                      <w:bCs w:val="0"/>
                      <w:color w:val="auto"/>
                      <w:sz w:val="21"/>
                      <w:szCs w:val="21"/>
                      <w:lang w:val="en-US" w:eastAsia="zh-CN"/>
                    </w:rPr>
                    <w:t>≤</w:t>
                  </w:r>
                  <w:r>
                    <w:rPr>
                      <w:rFonts w:hint="eastAsia" w:cs="Times New Roman"/>
                      <w:b w:val="0"/>
                      <w:bCs w:val="0"/>
                      <w:color w:val="auto"/>
                      <w:sz w:val="21"/>
                      <w:szCs w:val="21"/>
                      <w:lang w:val="en-US" w:eastAsia="zh-CN"/>
                    </w:rPr>
                    <w:t>2.5</w:t>
                  </w:r>
                  <w:r>
                    <w:rPr>
                      <w:rFonts w:hint="default" w:ascii="Times New Roman" w:hAnsi="Times New Roman" w:eastAsia="宋体" w:cs="Times New Roman"/>
                      <w:b w:val="0"/>
                      <w:bCs w:val="0"/>
                      <w:color w:val="auto"/>
                      <w:sz w:val="21"/>
                      <w:szCs w:val="21"/>
                      <w:lang w:val="en-US" w:eastAsia="zh-CN"/>
                    </w:rPr>
                    <w:t>μSv/h</w:t>
                  </w:r>
                  <w:r>
                    <w:rPr>
                      <w:rFonts w:hint="eastAsia" w:cs="Times New Roman"/>
                      <w:b w:val="0"/>
                      <w:bCs w:val="0"/>
                      <w:color w:val="auto"/>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2</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玻璃观察窗右侧</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3</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玻璃观察窗上侧</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4</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玻璃观察窗下侧</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zh-CN"/>
                    </w:rPr>
                    <w:t>5</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医生操作台处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lang w:val="en-US" w:eastAsia="zh-CN"/>
                    </w:rPr>
                    <w:t>6</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医生通道防护门左侧上</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医生通道防护门左侧中</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医生通道防护门左侧下</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医生通道防护门右侧上</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医生通道防护门右侧中</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医生通道防护门右侧下</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病人通道防护门左侧上</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病人通道防护门左侧中</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病人通道防护门左侧下</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病人通道防护门右侧上</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病人通道防护门右侧中</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病人通道防护门右侧下</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污物通道防护门左侧上</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污物通道防护门左侧中</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污物通道防护门左侧下</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污物通道防护门右侧上</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0.16</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污物通道防护门右侧中</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污物通道防护门右侧下</w:t>
                  </w:r>
                  <w:r>
                    <w:rPr>
                      <w:rFonts w:hint="default" w:ascii="Times New Roman" w:hAnsi="Times New Roman" w:eastAsia="宋体" w:cs="Times New Roman"/>
                      <w:color w:val="auto"/>
                      <w:kern w:val="2"/>
                      <w:sz w:val="21"/>
                      <w:szCs w:val="21"/>
                      <w:lang w:val="en-US" w:eastAsia="zh-CN" w:bidi="ar-SA"/>
                    </w:rPr>
                    <w:t>30cm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扫描间南侧墙外30</w:t>
                  </w:r>
                  <w:r>
                    <w:rPr>
                      <w:rFonts w:hint="default" w:ascii="Times New Roman" w:hAnsi="Times New Roman" w:eastAsia="宋体" w:cs="Times New Roman"/>
                      <w:color w:val="auto"/>
                      <w:kern w:val="2"/>
                      <w:sz w:val="21"/>
                      <w:szCs w:val="21"/>
                      <w:lang w:val="en-US" w:eastAsia="zh-CN" w:bidi="ar-SA"/>
                    </w:rPr>
                    <w:t>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扫描间北侧墙外30</w:t>
                  </w:r>
                  <w:r>
                    <w:rPr>
                      <w:rFonts w:hint="default" w:ascii="Times New Roman" w:hAnsi="Times New Roman" w:eastAsia="宋体" w:cs="Times New Roman"/>
                      <w:color w:val="auto"/>
                      <w:kern w:val="2"/>
                      <w:sz w:val="21"/>
                      <w:szCs w:val="21"/>
                      <w:lang w:val="en-US" w:eastAsia="zh-CN" w:bidi="ar-SA"/>
                    </w:rPr>
                    <w:t>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扫描间西侧墙外30</w:t>
                  </w:r>
                  <w:r>
                    <w:rPr>
                      <w:rFonts w:hint="default" w:ascii="Times New Roman" w:hAnsi="Times New Roman" w:eastAsia="宋体" w:cs="Times New Roman"/>
                      <w:color w:val="auto"/>
                      <w:kern w:val="2"/>
                      <w:sz w:val="21"/>
                      <w:szCs w:val="21"/>
                      <w:lang w:val="en-US" w:eastAsia="zh-CN" w:bidi="ar-SA"/>
                    </w:rPr>
                    <w:t>cm</w:t>
                  </w:r>
                  <w:r>
                    <w:rPr>
                      <w:rFonts w:hint="eastAsia" w:cs="Times New Roman"/>
                      <w:color w:val="auto"/>
                      <w:kern w:val="2"/>
                      <w:sz w:val="21"/>
                      <w:szCs w:val="21"/>
                      <w:lang w:val="en-US" w:eastAsia="zh-CN" w:bidi="ar-SA"/>
                    </w:rPr>
                    <w:t>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扫描间对应楼上2层地板上1m</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医院北门处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医院西门处</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72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336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医院内停车场</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54"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95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83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252"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p>
              </w:tc>
            </w:tr>
          </w:tbl>
          <w:p>
            <w:pPr>
              <w:widowControl w:val="0"/>
              <w:spacing w:line="360" w:lineRule="auto"/>
              <w:ind w:firstLine="420" w:firstLineChars="20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注：</w:t>
            </w:r>
            <w:r>
              <w:rPr>
                <w:rFonts w:hint="eastAsia" w:cs="Times New Roman"/>
                <w:b/>
                <w:bCs/>
                <w:color w:val="auto"/>
                <w:kern w:val="0"/>
                <w:sz w:val="21"/>
                <w:szCs w:val="21"/>
                <w:lang w:val="en-US" w:eastAsia="zh-CN" w:bidi="ar"/>
              </w:rPr>
              <w:t>检测结果未扣除环境本底</w:t>
            </w:r>
            <w:r>
              <w:rPr>
                <w:rFonts w:hint="default" w:ascii="Times New Roman" w:hAnsi="Times New Roman" w:eastAsia="宋体" w:cs="Times New Roman"/>
                <w:b/>
                <w:bCs/>
                <w:color w:val="auto"/>
                <w:kern w:val="0"/>
                <w:sz w:val="21"/>
                <w:szCs w:val="21"/>
                <w:lang w:val="en-US" w:eastAsia="zh-CN" w:bidi="ar"/>
              </w:rPr>
              <w:t>。</w:t>
            </w:r>
          </w:p>
          <w:p>
            <w:pPr>
              <w:widowControl w:val="0"/>
              <w:spacing w:line="360" w:lineRule="auto"/>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根据江西同欣检测技术有限公司所出监测报告（附件11）可知：南京鼓楼医院集团安庆市石化医院DSA在上述工况工作时，扫描间周围辐射剂量率在0.09</w:t>
            </w:r>
            <w:r>
              <w:rPr>
                <w:rFonts w:hint="eastAsia" w:ascii="宋体" w:hAnsi="宋体" w:eastAsia="宋体" w:cs="宋体"/>
                <w:b w:val="0"/>
                <w:bCs w:val="0"/>
                <w:color w:val="auto"/>
                <w:sz w:val="24"/>
                <w:szCs w:val="24"/>
                <w:lang w:val="en-US" w:eastAsia="zh-CN"/>
              </w:rPr>
              <w:t>μSv/h</w:t>
            </w:r>
            <w:r>
              <w:rPr>
                <w:rFonts w:hint="eastAsia" w:ascii="宋体" w:hAnsi="宋体" w:eastAsia="宋体" w:cs="宋体"/>
                <w:color w:val="auto"/>
                <w:kern w:val="0"/>
                <w:sz w:val="24"/>
                <w:szCs w:val="24"/>
                <w:lang w:val="en-US" w:eastAsia="zh-CN" w:bidi="ar"/>
              </w:rPr>
              <w:t>～0.16</w:t>
            </w:r>
            <w:r>
              <w:rPr>
                <w:rFonts w:hint="eastAsia" w:ascii="宋体" w:hAnsi="宋体" w:eastAsia="宋体" w:cs="宋体"/>
                <w:b w:val="0"/>
                <w:bCs w:val="0"/>
                <w:color w:val="auto"/>
                <w:sz w:val="24"/>
                <w:szCs w:val="24"/>
                <w:lang w:val="en-US" w:eastAsia="zh-CN"/>
              </w:rPr>
              <w:t>μSv/h</w:t>
            </w:r>
            <w:r>
              <w:rPr>
                <w:rFonts w:hint="eastAsia" w:ascii="宋体" w:hAnsi="宋体" w:eastAsia="宋体" w:cs="宋体"/>
                <w:color w:val="auto"/>
                <w:kern w:val="0"/>
                <w:sz w:val="24"/>
                <w:szCs w:val="24"/>
                <w:lang w:val="en-US" w:eastAsia="zh-CN" w:bidi="ar"/>
              </w:rPr>
              <w:t>，能够满足《电离辐射防护与辐射源安全基本标准》（GB18871-2002）以及《放射诊断放射防护要求》（GBZ130-2020）中“机房外的周围剂量当量率应不大于2.5μSv/h”的要求。</w:t>
            </w:r>
          </w:p>
          <w:p>
            <w:pPr>
              <w:pStyle w:val="2"/>
              <w:numPr>
                <w:ilvl w:val="0"/>
                <w:numId w:val="0"/>
              </w:numPr>
              <w:spacing w:line="360" w:lineRule="auto"/>
              <w:jc w:val="both"/>
              <w:rPr>
                <w:rFonts w:hint="default" w:ascii="Times New Roman" w:hAnsi="Times New Roman" w:eastAsia="宋体" w:cs="Times New Roman"/>
                <w:b/>
                <w:bCs/>
                <w:color w:val="auto"/>
                <w:sz w:val="21"/>
                <w:szCs w:val="21"/>
                <w:lang w:val="en-US" w:eastAsia="zh-CN"/>
              </w:rPr>
            </w:pPr>
            <w:r>
              <w:rPr>
                <w:rFonts w:hint="eastAsia" w:ascii="Times New Roman" w:cs="Times New Roman"/>
                <w:b/>
                <w:bCs/>
                <w:color w:val="auto"/>
                <w:sz w:val="21"/>
                <w:szCs w:val="21"/>
                <w:lang w:val="en-US" w:eastAsia="zh-CN"/>
              </w:rPr>
              <w:t>（三）人员年有效</w:t>
            </w:r>
            <w:r>
              <w:rPr>
                <w:rFonts w:hint="default" w:ascii="Times New Roman" w:hAnsi="Times New Roman" w:eastAsia="宋体" w:cs="Times New Roman"/>
                <w:b/>
                <w:bCs/>
                <w:color w:val="auto"/>
                <w:sz w:val="21"/>
                <w:szCs w:val="21"/>
                <w:lang w:val="en-US" w:eastAsia="zh-CN"/>
              </w:rPr>
              <w:t>剂量估算</w:t>
            </w:r>
          </w:p>
          <w:p>
            <w:pPr>
              <w:widowControl w:val="0"/>
              <w:spacing w:line="360" w:lineRule="auto"/>
              <w:jc w:val="both"/>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1、辐射工作人员年有效剂量估算</w:t>
            </w:r>
          </w:p>
          <w:p>
            <w:pPr>
              <w:widowControl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根据医院提供的资料：本项目DSA机房年手术1000例，DSA总出束时间为250h/a（15000min/a）。本项目</w:t>
            </w:r>
            <w:r>
              <w:rPr>
                <w:rFonts w:hint="eastAsia" w:cs="Times New Roman"/>
                <w:color w:val="auto"/>
                <w:kern w:val="0"/>
                <w:sz w:val="24"/>
                <w:szCs w:val="24"/>
                <w:lang w:val="en-US" w:eastAsia="zh-CN" w:bidi="ar"/>
              </w:rPr>
              <w:t>DSA</w:t>
            </w:r>
            <w:r>
              <w:rPr>
                <w:rFonts w:hint="default" w:ascii="Times New Roman" w:hAnsi="Times New Roman" w:eastAsia="宋体" w:cs="Times New Roman"/>
                <w:color w:val="auto"/>
                <w:kern w:val="0"/>
                <w:sz w:val="24"/>
                <w:szCs w:val="24"/>
                <w:lang w:val="en-US" w:eastAsia="zh-CN" w:bidi="ar"/>
              </w:rPr>
              <w:t>机房</w:t>
            </w:r>
            <w:r>
              <w:rPr>
                <w:rFonts w:hint="eastAsia" w:ascii="Times New Roman" w:hAnsi="Times New Roman" w:cs="Times New Roman"/>
                <w:color w:val="auto"/>
                <w:kern w:val="0"/>
                <w:sz w:val="24"/>
                <w:szCs w:val="24"/>
                <w:lang w:val="en-US" w:eastAsia="zh-CN" w:bidi="ar"/>
              </w:rPr>
              <w:t>辐射</w:t>
            </w:r>
            <w:r>
              <w:rPr>
                <w:rFonts w:hint="default" w:ascii="Times New Roman" w:hAnsi="Times New Roman" w:eastAsia="宋体" w:cs="Times New Roman"/>
                <w:color w:val="auto"/>
                <w:kern w:val="0"/>
                <w:sz w:val="24"/>
                <w:szCs w:val="24"/>
                <w:lang w:val="en-US" w:eastAsia="zh-CN" w:bidi="ar"/>
              </w:rPr>
              <w:t>工作人员名单如下</w:t>
            </w:r>
            <w:r>
              <w:rPr>
                <w:rFonts w:hint="eastAsia" w:ascii="Times New Roman" w:hAnsi="Times New Roman" w:cs="Times New Roman"/>
                <w:color w:val="auto"/>
                <w:kern w:val="0"/>
                <w:sz w:val="24"/>
                <w:szCs w:val="24"/>
                <w:lang w:val="en-US" w:eastAsia="zh-CN" w:bidi="ar"/>
              </w:rPr>
              <w:t>：</w:t>
            </w:r>
          </w:p>
          <w:p>
            <w:pPr>
              <w:widowControl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医师：汪念东、农彦林、徐先进、王书健、杨龙林、钱俊；</w:t>
            </w:r>
          </w:p>
          <w:p>
            <w:pPr>
              <w:widowControl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护士：焦红、程微；</w:t>
            </w:r>
          </w:p>
          <w:p>
            <w:pPr>
              <w:pStyle w:val="2"/>
              <w:numPr>
                <w:ilvl w:val="0"/>
                <w:numId w:val="0"/>
              </w:numPr>
              <w:spacing w:line="360" w:lineRule="auto"/>
              <w:ind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技师：程锐锐、王辉。</w:t>
            </w:r>
          </w:p>
          <w:p>
            <w:pPr>
              <w:widowControl w:val="0"/>
              <w:spacing w:line="360" w:lineRule="auto"/>
              <w:jc w:val="both"/>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cs="Times New Roman"/>
                <w:b/>
                <w:bCs/>
                <w:color w:val="auto"/>
                <w:kern w:val="0"/>
                <w:sz w:val="21"/>
                <w:szCs w:val="21"/>
                <w:lang w:val="en-US" w:eastAsia="zh-CN" w:bidi="ar"/>
              </w:rPr>
              <w:t xml:space="preserve">  （</w:t>
            </w:r>
            <w:r>
              <w:rPr>
                <w:rFonts w:hint="eastAsia" w:ascii="Times New Roman" w:hAnsi="Times New Roman" w:cs="Times New Roman"/>
                <w:b/>
                <w:bCs/>
                <w:color w:val="auto"/>
                <w:kern w:val="0"/>
                <w:sz w:val="24"/>
                <w:szCs w:val="24"/>
                <w:lang w:val="en-US" w:eastAsia="zh-CN" w:bidi="ar"/>
              </w:rPr>
              <w:t>1）介入手术辐射工作人员年有效剂量</w:t>
            </w:r>
          </w:p>
          <w:p>
            <w:pPr>
              <w:widowControl w:val="0"/>
              <w:spacing w:line="360" w:lineRule="auto"/>
              <w:jc w:val="both"/>
              <w:rPr>
                <w:rFonts w:hint="default" w:asciiTheme="minorEastAsia" w:hAnsiTheme="minorEastAsia" w:eastAsiaTheme="minorEastAsia" w:cstheme="minorEastAsia"/>
                <w:color w:val="auto"/>
                <w:kern w:val="0"/>
                <w:sz w:val="24"/>
                <w:szCs w:val="24"/>
                <w:lang w:val="en-US" w:eastAsia="zh-CN" w:bidi="ar"/>
              </w:rPr>
            </w:pPr>
            <w:r>
              <w:rPr>
                <w:rFonts w:hint="eastAsia" w:ascii="Times New Roman" w:hAnsi="Times New Roman" w:cs="Times New Roman"/>
                <w:b/>
                <w:bCs/>
                <w:color w:val="auto"/>
                <w:kern w:val="0"/>
                <w:sz w:val="21"/>
                <w:szCs w:val="21"/>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介入手术辐射工作人员年有效剂量采用根据个人季度监测结果统计的方式。</w:t>
            </w:r>
          </w:p>
          <w:p>
            <w:pPr>
              <w:widowControl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w:t>
            </w:r>
            <w:r>
              <w:rPr>
                <w:rFonts w:hint="eastAsia" w:cs="Times New Roman"/>
                <w:b/>
                <w:bCs/>
                <w:color w:val="auto"/>
                <w:kern w:val="0"/>
                <w:sz w:val="21"/>
                <w:szCs w:val="21"/>
                <w:lang w:val="en-US" w:eastAsia="zh-CN" w:bidi="ar"/>
              </w:rPr>
              <w:t>7</w:t>
            </w:r>
            <w:r>
              <w:rPr>
                <w:rFonts w:hint="default" w:ascii="Times New Roman" w:hAnsi="Times New Roman" w:eastAsia="宋体" w:cs="Times New Roman"/>
                <w:b/>
                <w:bCs/>
                <w:color w:val="auto"/>
                <w:kern w:val="0"/>
                <w:sz w:val="21"/>
                <w:szCs w:val="21"/>
                <w:lang w:val="en-US" w:eastAsia="zh-CN" w:bidi="ar"/>
              </w:rPr>
              <w:t>-</w:t>
            </w:r>
            <w:r>
              <w:rPr>
                <w:rFonts w:hint="eastAsia" w:ascii="Times New Roman" w:hAnsi="Times New Roman" w:eastAsia="宋体" w:cs="Times New Roman"/>
                <w:b/>
                <w:bCs/>
                <w:color w:val="auto"/>
                <w:kern w:val="0"/>
                <w:sz w:val="21"/>
                <w:szCs w:val="21"/>
                <w:lang w:val="en-US" w:eastAsia="zh-CN" w:bidi="ar"/>
              </w:rPr>
              <w:t>2</w:t>
            </w:r>
            <w:r>
              <w:rPr>
                <w:rFonts w:hint="default" w:ascii="Times New Roman" w:hAnsi="Times New Roman" w:eastAsia="宋体" w:cs="Times New Roman"/>
                <w:b/>
                <w:bCs/>
                <w:color w:val="auto"/>
                <w:kern w:val="0"/>
                <w:sz w:val="21"/>
                <w:szCs w:val="21"/>
                <w:lang w:val="en-US" w:eastAsia="zh-CN" w:bidi="ar"/>
              </w:rPr>
              <w:t xml:space="preserve">  南京鼓楼医院集团安庆市石化医院DSA项目辐射工作人员年有效剂量</w:t>
            </w:r>
          </w:p>
          <w:tbl>
            <w:tblPr>
              <w:tblStyle w:val="39"/>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920"/>
              <w:gridCol w:w="671"/>
              <w:gridCol w:w="1258"/>
              <w:gridCol w:w="1234"/>
              <w:gridCol w:w="1449"/>
              <w:gridCol w:w="1340"/>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dxa"/>
                  <w:vMerge w:val="restart"/>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序号</w:t>
                  </w:r>
                </w:p>
              </w:tc>
              <w:tc>
                <w:tcPr>
                  <w:tcW w:w="920" w:type="dxa"/>
                  <w:vMerge w:val="restart"/>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姓名</w:t>
                  </w:r>
                </w:p>
              </w:tc>
              <w:tc>
                <w:tcPr>
                  <w:tcW w:w="671" w:type="dxa"/>
                  <w:vMerge w:val="restart"/>
                  <w:vAlign w:val="center"/>
                </w:tcPr>
                <w:p>
                  <w:pPr>
                    <w:widowControl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辐射工作类别</w:t>
                  </w:r>
                </w:p>
              </w:tc>
              <w:tc>
                <w:tcPr>
                  <w:tcW w:w="5281" w:type="dxa"/>
                  <w:gridSpan w:val="4"/>
                  <w:vAlign w:val="center"/>
                </w:tcPr>
                <w:p>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有效剂量（mSv）</w:t>
                  </w:r>
                </w:p>
              </w:tc>
              <w:tc>
                <w:tcPr>
                  <w:tcW w:w="1903" w:type="dxa"/>
                  <w:vMerge w:val="restart"/>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年有效剂量（mSv）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trPr>
              <w:tc>
                <w:tcPr>
                  <w:tcW w:w="542" w:type="dxa"/>
                  <w:vMerge w:val="continue"/>
                  <w:vAlign w:val="center"/>
                </w:tcPr>
                <w:p>
                  <w:pPr>
                    <w:widowControl w:val="0"/>
                    <w:jc w:val="center"/>
                    <w:rPr>
                      <w:rFonts w:hint="default" w:ascii="Times New Roman" w:hAnsi="Times New Roman" w:eastAsia="宋体" w:cs="Times New Roman"/>
                      <w:color w:val="auto"/>
                    </w:rPr>
                  </w:pPr>
                </w:p>
              </w:tc>
              <w:tc>
                <w:tcPr>
                  <w:tcW w:w="920" w:type="dxa"/>
                  <w:vMerge w:val="continue"/>
                  <w:vAlign w:val="center"/>
                </w:tcPr>
                <w:p>
                  <w:pPr>
                    <w:widowControl w:val="0"/>
                    <w:jc w:val="center"/>
                    <w:rPr>
                      <w:rFonts w:hint="default" w:ascii="Times New Roman" w:hAnsi="Times New Roman" w:eastAsia="宋体" w:cs="Times New Roman"/>
                      <w:color w:val="auto"/>
                    </w:rPr>
                  </w:pPr>
                </w:p>
              </w:tc>
              <w:tc>
                <w:tcPr>
                  <w:tcW w:w="671" w:type="dxa"/>
                  <w:vMerge w:val="continue"/>
                  <w:vAlign w:val="center"/>
                </w:tcPr>
                <w:p>
                  <w:pPr>
                    <w:widowControl w:val="0"/>
                    <w:jc w:val="center"/>
                    <w:rPr>
                      <w:rFonts w:hint="default" w:ascii="Times New Roman" w:hAnsi="Times New Roman" w:eastAsia="宋体" w:cs="Times New Roman"/>
                      <w:color w:val="auto"/>
                    </w:rPr>
                  </w:pPr>
                </w:p>
              </w:tc>
              <w:tc>
                <w:tcPr>
                  <w:tcW w:w="1258" w:type="dxa"/>
                  <w:vAlign w:val="center"/>
                </w:tcPr>
                <w:p>
                  <w:pPr>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2021年</w:t>
                  </w:r>
                </w:p>
                <w:p>
                  <w:pPr>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第一季度</w:t>
                  </w:r>
                </w:p>
              </w:tc>
              <w:tc>
                <w:tcPr>
                  <w:tcW w:w="1234" w:type="dxa"/>
                  <w:vAlign w:val="center"/>
                </w:tcPr>
                <w:p>
                  <w:pPr>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2021年</w:t>
                  </w:r>
                </w:p>
                <w:p>
                  <w:pPr>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第二季度</w:t>
                  </w:r>
                </w:p>
              </w:tc>
              <w:tc>
                <w:tcPr>
                  <w:tcW w:w="1449" w:type="dxa"/>
                  <w:vAlign w:val="center"/>
                </w:tcPr>
                <w:p>
                  <w:pPr>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2021年</w:t>
                  </w:r>
                </w:p>
                <w:p>
                  <w:pPr>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第三季度</w:t>
                  </w:r>
                </w:p>
              </w:tc>
              <w:tc>
                <w:tcPr>
                  <w:tcW w:w="1340" w:type="dxa"/>
                  <w:vAlign w:val="center"/>
                </w:tcPr>
                <w:p>
                  <w:pPr>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2021年</w:t>
                  </w:r>
                </w:p>
                <w:p>
                  <w:pPr>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第四季度</w:t>
                  </w:r>
                </w:p>
              </w:tc>
              <w:tc>
                <w:tcPr>
                  <w:tcW w:w="1903" w:type="dxa"/>
                  <w:vMerge w:val="continue"/>
                  <w:vAlign w:val="center"/>
                </w:tcPr>
                <w:p>
                  <w:pPr>
                    <w:widowControl w:val="0"/>
                    <w:jc w:val="center"/>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92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汪念东</w:t>
                  </w:r>
                </w:p>
              </w:tc>
              <w:tc>
                <w:tcPr>
                  <w:tcW w:w="671"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125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23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p>
              </w:tc>
              <w:tc>
                <w:tcPr>
                  <w:tcW w:w="1449"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34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0.06</w:t>
                  </w:r>
                </w:p>
              </w:tc>
              <w:tc>
                <w:tcPr>
                  <w:tcW w:w="1903"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92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农彦林</w:t>
                  </w:r>
                </w:p>
              </w:tc>
              <w:tc>
                <w:tcPr>
                  <w:tcW w:w="671"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125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23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1449"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34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903"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dxa"/>
                  <w:vAlign w:val="center"/>
                </w:tcPr>
                <w:p>
                  <w:pPr>
                    <w:widowControl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92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徐先进</w:t>
                  </w:r>
                </w:p>
              </w:tc>
              <w:tc>
                <w:tcPr>
                  <w:tcW w:w="671"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125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w:t>
                  </w:r>
                </w:p>
              </w:tc>
              <w:tc>
                <w:tcPr>
                  <w:tcW w:w="123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0.12</w:t>
                  </w:r>
                </w:p>
              </w:tc>
              <w:tc>
                <w:tcPr>
                  <w:tcW w:w="1449"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34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903"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dxa"/>
                  <w:vAlign w:val="center"/>
                </w:tcPr>
                <w:p>
                  <w:pPr>
                    <w:widowControl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w:t>
                  </w:r>
                </w:p>
              </w:tc>
              <w:tc>
                <w:tcPr>
                  <w:tcW w:w="92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王书健</w:t>
                  </w:r>
                </w:p>
              </w:tc>
              <w:tc>
                <w:tcPr>
                  <w:tcW w:w="671"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125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23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0.04</w:t>
                  </w:r>
                </w:p>
              </w:tc>
              <w:tc>
                <w:tcPr>
                  <w:tcW w:w="1449"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34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903"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42" w:type="dxa"/>
                  <w:vAlign w:val="center"/>
                </w:tcPr>
                <w:p>
                  <w:pPr>
                    <w:widowControl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92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杨龙林</w:t>
                  </w:r>
                </w:p>
              </w:tc>
              <w:tc>
                <w:tcPr>
                  <w:tcW w:w="671"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1258"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234"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p>
              </w:tc>
              <w:tc>
                <w:tcPr>
                  <w:tcW w:w="1449"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34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w:t>
                  </w:r>
                </w:p>
              </w:tc>
              <w:tc>
                <w:tcPr>
                  <w:tcW w:w="1903"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0.27</w:t>
                  </w:r>
                </w:p>
              </w:tc>
            </w:tr>
          </w:tbl>
          <w:p>
            <w:pPr>
              <w:widowControl w:val="0"/>
              <w:spacing w:line="360" w:lineRule="auto"/>
              <w:ind w:firstLine="480" w:firstLineChars="200"/>
              <w:jc w:val="both"/>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由表7-2所示，本项目介入手术辐射工作人员年最大年有效剂量约0.31mSv，能满足项目剂量管理限值10mSv的要求，符合《电离辐射防护与辐射源安全基本标准》（GB18871-2002）中关于辐射工作人员剂量限值（20mSv）的要求。</w:t>
            </w:r>
          </w:p>
          <w:p>
            <w:pPr>
              <w:widowControl w:val="0"/>
              <w:spacing w:line="360" w:lineRule="auto"/>
              <w:ind w:firstLine="240" w:firstLineChars="100"/>
              <w:jc w:val="both"/>
              <w:rPr>
                <w:rFonts w:hint="eastAsia"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（2）</w:t>
            </w:r>
            <w:r>
              <w:rPr>
                <w:rFonts w:hint="eastAsia" w:ascii="Times New Roman" w:hAnsi="Times New Roman" w:cs="Times New Roman"/>
                <w:b/>
                <w:bCs/>
                <w:color w:val="auto"/>
                <w:kern w:val="0"/>
                <w:sz w:val="24"/>
                <w:szCs w:val="24"/>
                <w:lang w:val="en-US" w:eastAsia="zh-CN" w:bidi="ar"/>
              </w:rPr>
              <w:t>一般</w:t>
            </w:r>
            <w:r>
              <w:rPr>
                <w:rFonts w:hint="eastAsia" w:ascii="Times New Roman" w:hAnsi="Times New Roman" w:eastAsia="宋体" w:cs="Times New Roman"/>
                <w:b/>
                <w:bCs/>
                <w:color w:val="auto"/>
                <w:kern w:val="0"/>
                <w:sz w:val="24"/>
                <w:szCs w:val="24"/>
                <w:lang w:val="en-US" w:eastAsia="zh-CN" w:bidi="ar"/>
              </w:rPr>
              <w:t>辐射工作人员</w:t>
            </w:r>
          </w:p>
          <w:p>
            <w:pPr>
              <w:pStyle w:val="3"/>
              <w:widowControl w:val="0"/>
              <w:numPr>
                <w:ilvl w:val="0"/>
                <w:numId w:val="0"/>
              </w:numPr>
              <w:ind w:leftChars="0" w:firstLine="480" w:firstLineChars="200"/>
              <w:jc w:val="left"/>
              <w:outlineLvl w:val="0"/>
              <w:rPr>
                <w:rFonts w:hint="eastAsia" w:asciiTheme="minorEastAsia" w:hAnsiTheme="minorEastAsia" w:eastAsiaTheme="minorEastAsia" w:cstheme="minorEastAsia"/>
                <w:b w:val="0"/>
                <w:bCs w:val="0"/>
                <w:color w:val="auto"/>
                <w:kern w:val="0"/>
                <w:sz w:val="24"/>
                <w:szCs w:val="24"/>
                <w:lang w:val="en-US" w:eastAsia="zh-CN" w:bidi="ar"/>
              </w:rPr>
            </w:pPr>
            <w:r>
              <w:rPr>
                <w:rFonts w:hint="eastAsia" w:asciiTheme="minorEastAsia" w:hAnsiTheme="minorEastAsia" w:eastAsiaTheme="minorEastAsia" w:cstheme="minorEastAsia"/>
                <w:b w:val="0"/>
                <w:bCs w:val="0"/>
                <w:color w:val="auto"/>
                <w:kern w:val="0"/>
                <w:sz w:val="24"/>
                <w:szCs w:val="24"/>
                <w:lang w:val="en-US" w:eastAsia="zh-CN" w:bidi="ar"/>
              </w:rPr>
              <w:t>根据江西同欣检测技术有限公司所出监测报告（附件11）可知，DSA操作间内操作位最大剂量率值为0.15μSv/h，总出束时间为250h，计算得到操作间内辐射工作人员年有效剂量最大0.038mSv，计算过程：Eeff=D·t·T=0.15μSv/h×250/1000=0.038mSv。</w:t>
            </w:r>
          </w:p>
          <w:p>
            <w:pPr>
              <w:pStyle w:val="3"/>
              <w:widowControl w:val="0"/>
              <w:numPr>
                <w:ilvl w:val="0"/>
                <w:numId w:val="0"/>
              </w:numPr>
              <w:ind w:leftChars="0" w:firstLine="480" w:firstLineChars="200"/>
              <w:jc w:val="left"/>
              <w:outlineLvl w:val="0"/>
              <w:rPr>
                <w:rFonts w:hint="eastAsia" w:asciiTheme="minorEastAsia" w:hAnsiTheme="minorEastAsia" w:eastAsiaTheme="minorEastAsia" w:cstheme="minorEastAsia"/>
                <w:b w:val="0"/>
                <w:bCs w:val="0"/>
                <w:color w:val="auto"/>
                <w:kern w:val="0"/>
                <w:sz w:val="24"/>
                <w:szCs w:val="24"/>
                <w:lang w:val="en-US" w:eastAsia="zh-CN" w:bidi="ar"/>
              </w:rPr>
            </w:pPr>
            <w:r>
              <w:rPr>
                <w:rFonts w:hint="eastAsia" w:asciiTheme="minorEastAsia" w:hAnsiTheme="minorEastAsia" w:eastAsiaTheme="minorEastAsia" w:cstheme="minorEastAsia"/>
                <w:b w:val="0"/>
                <w:bCs w:val="0"/>
                <w:color w:val="auto"/>
                <w:kern w:val="0"/>
                <w:sz w:val="24"/>
                <w:szCs w:val="24"/>
                <w:lang w:val="en-US" w:eastAsia="zh-CN" w:bidi="ar"/>
              </w:rPr>
              <w:t>能够满足本次验收项目一般辐射工作人员年剂量管理目标5mSv要求。</w:t>
            </w:r>
          </w:p>
          <w:p>
            <w:pPr>
              <w:widowControl w:val="0"/>
              <w:numPr>
                <w:ilvl w:val="0"/>
                <w:numId w:val="1"/>
              </w:numPr>
              <w:spacing w:line="360" w:lineRule="auto"/>
              <w:ind w:firstLine="240" w:firstLineChars="100"/>
              <w:jc w:val="both"/>
              <w:rPr>
                <w:rFonts w:hint="default"/>
                <w:color w:val="auto"/>
                <w:lang w:val="en-US" w:eastAsia="zh-CN"/>
              </w:rPr>
            </w:pPr>
            <w:r>
              <w:rPr>
                <w:rFonts w:hint="eastAsia" w:ascii="Times New Roman" w:hAnsi="Times New Roman" w:cs="Times New Roman"/>
                <w:b/>
                <w:bCs/>
                <w:color w:val="auto"/>
                <w:kern w:val="0"/>
                <w:sz w:val="24"/>
                <w:szCs w:val="24"/>
                <w:lang w:val="en-US" w:eastAsia="zh-CN" w:bidi="ar"/>
              </w:rPr>
              <w:t>其他职业辐射工作人员</w:t>
            </w:r>
          </w:p>
          <w:p>
            <w:pPr>
              <w:pStyle w:val="14"/>
              <w:widowControl w:val="0"/>
              <w:spacing w:line="360" w:lineRule="auto"/>
              <w:jc w:val="both"/>
              <w:rPr>
                <w:rFonts w:hint="eastAsia" w:asciiTheme="minorEastAsia" w:hAnsiTheme="minorEastAsia" w:eastAsiaTheme="minorEastAsia" w:cstheme="minorEastAsia"/>
                <w:b w:val="0"/>
                <w:bCs w:val="0"/>
                <w:color w:val="auto"/>
                <w:kern w:val="0"/>
                <w:sz w:val="24"/>
                <w:szCs w:val="24"/>
                <w:lang w:val="en-US" w:eastAsia="zh-CN" w:bidi="ar"/>
              </w:rPr>
            </w:pPr>
            <w:r>
              <w:rPr>
                <w:rFonts w:hint="eastAsia" w:cs="Times New Roman"/>
                <w:b/>
                <w:bCs/>
                <w:color w:val="auto"/>
                <w:kern w:val="0"/>
                <w:sz w:val="24"/>
                <w:szCs w:val="24"/>
                <w:lang w:val="en-US" w:eastAsia="zh-CN" w:bidi="ar"/>
              </w:rPr>
              <w:t xml:space="preserve">  </w:t>
            </w:r>
            <w:r>
              <w:rPr>
                <w:rFonts w:hint="eastAsia" w:asciiTheme="minorEastAsia" w:hAnsiTheme="minorEastAsia" w:eastAsiaTheme="minorEastAsia" w:cstheme="minorEastAsia"/>
                <w:b w:val="0"/>
                <w:bCs w:val="0"/>
                <w:color w:val="auto"/>
                <w:kern w:val="0"/>
                <w:sz w:val="24"/>
                <w:szCs w:val="24"/>
                <w:lang w:val="en-US" w:eastAsia="zh-CN" w:bidi="ar"/>
              </w:rPr>
              <w:t xml:space="preserve"> DSA扫描间北侧与CT室相邻，其中的辐射工作人员年有效剂量估算如下：</w:t>
            </w:r>
          </w:p>
          <w:p>
            <w:pPr>
              <w:pStyle w:val="3"/>
              <w:widowControl w:val="0"/>
              <w:numPr>
                <w:ilvl w:val="0"/>
                <w:numId w:val="0"/>
              </w:numPr>
              <w:spacing w:line="360" w:lineRule="auto"/>
              <w:ind w:firstLine="480" w:firstLineChars="200"/>
              <w:jc w:val="left"/>
              <w:outlineLvl w:val="0"/>
              <w:rPr>
                <w:rFonts w:hint="eastAsia" w:asciiTheme="minorEastAsia" w:hAnsiTheme="minorEastAsia" w:eastAsiaTheme="minorEastAsia" w:cstheme="minorEastAsia"/>
                <w:b w:val="0"/>
                <w:bCs w:val="0"/>
                <w:color w:val="auto"/>
                <w:kern w:val="0"/>
                <w:sz w:val="24"/>
                <w:szCs w:val="24"/>
                <w:lang w:val="en-US" w:eastAsia="zh-CN" w:bidi="ar"/>
              </w:rPr>
            </w:pPr>
            <w:r>
              <w:rPr>
                <w:rFonts w:hint="eastAsia" w:asciiTheme="minorEastAsia" w:hAnsiTheme="minorEastAsia" w:eastAsiaTheme="minorEastAsia" w:cstheme="minorEastAsia"/>
                <w:b w:val="0"/>
                <w:bCs w:val="0"/>
                <w:color w:val="auto"/>
                <w:kern w:val="0"/>
                <w:sz w:val="24"/>
                <w:szCs w:val="24"/>
                <w:lang w:val="en-US" w:eastAsia="zh-CN" w:bidi="ar"/>
              </w:rPr>
              <w:t>根据江西同欣检测技术有限公司所出监测报告（附件11）可知 ，DSA操作间北侧最大剂量率值为0.13μSv/h，总出束时间为250h，计算得辐射工作人员年有效剂量最大0.033mSv，计算过程：Eeff=D·t·T=0.13μSv/h×250/1000=0.033mSv。</w:t>
            </w:r>
          </w:p>
          <w:p>
            <w:pPr>
              <w:pStyle w:val="3"/>
              <w:widowControl w:val="0"/>
              <w:numPr>
                <w:ilvl w:val="0"/>
                <w:numId w:val="0"/>
              </w:numPr>
              <w:ind w:leftChars="0" w:firstLine="480" w:firstLineChars="200"/>
              <w:jc w:val="left"/>
              <w:outlineLvl w:val="0"/>
              <w:rPr>
                <w:rFonts w:hint="eastAsia" w:asciiTheme="minorEastAsia" w:hAnsiTheme="minorEastAsia" w:eastAsiaTheme="minorEastAsia" w:cstheme="minorEastAsia"/>
                <w:b w:val="0"/>
                <w:bCs w:val="0"/>
                <w:color w:val="auto"/>
                <w:kern w:val="0"/>
                <w:sz w:val="24"/>
                <w:szCs w:val="24"/>
                <w:lang w:val="en-US" w:eastAsia="zh-CN" w:bidi="ar"/>
              </w:rPr>
            </w:pPr>
            <w:r>
              <w:rPr>
                <w:rFonts w:hint="eastAsia" w:asciiTheme="minorEastAsia" w:hAnsiTheme="minorEastAsia" w:eastAsiaTheme="minorEastAsia" w:cstheme="minorEastAsia"/>
                <w:b w:val="0"/>
                <w:bCs w:val="0"/>
                <w:color w:val="auto"/>
                <w:kern w:val="0"/>
                <w:sz w:val="24"/>
                <w:szCs w:val="24"/>
                <w:lang w:val="en-US" w:eastAsia="zh-CN" w:bidi="ar"/>
              </w:rPr>
              <w:t>能够满足本次验收项目其他辐射工作人员年剂量管理目标5mSv要求。</w:t>
            </w:r>
          </w:p>
          <w:p>
            <w:pPr>
              <w:widowControl w:val="0"/>
              <w:jc w:val="both"/>
              <w:rPr>
                <w:rFonts w:hint="default"/>
                <w:color w:val="auto"/>
                <w:lang w:val="en-US" w:eastAsia="zh-CN"/>
              </w:rPr>
            </w:pPr>
          </w:p>
          <w:p>
            <w:pPr>
              <w:pStyle w:val="2"/>
              <w:numPr>
                <w:ilvl w:val="0"/>
                <w:numId w:val="0"/>
              </w:numPr>
              <w:spacing w:line="360" w:lineRule="auto"/>
              <w:jc w:val="both"/>
              <w:rPr>
                <w:rFonts w:hint="default" w:ascii="Times New Roman" w:hAnsi="Times New Roman" w:eastAsia="宋体" w:cs="Times New Roman"/>
                <w:b/>
                <w:bCs/>
                <w:color w:val="auto"/>
                <w:sz w:val="24"/>
                <w:szCs w:val="24"/>
                <w:lang w:val="en-US" w:eastAsia="zh-CN"/>
              </w:rPr>
            </w:pPr>
            <w:r>
              <w:rPr>
                <w:rFonts w:hint="eastAsia" w:asci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cs="Times New Roman"/>
                <w:b/>
                <w:bCs/>
                <w:color w:val="auto"/>
                <w:sz w:val="24"/>
                <w:szCs w:val="24"/>
                <w:lang w:val="en-US" w:eastAsia="zh-CN"/>
              </w:rPr>
              <w:t>公众年有效</w:t>
            </w:r>
            <w:r>
              <w:rPr>
                <w:rFonts w:hint="default" w:ascii="Times New Roman" w:hAnsi="Times New Roman" w:eastAsia="宋体" w:cs="Times New Roman"/>
                <w:b/>
                <w:bCs/>
                <w:color w:val="auto"/>
                <w:sz w:val="24"/>
                <w:szCs w:val="24"/>
                <w:lang w:val="en-US" w:eastAsia="zh-CN"/>
              </w:rPr>
              <w:t>剂量估算</w:t>
            </w:r>
          </w:p>
          <w:p>
            <w:pPr>
              <w:widowControl w:val="0"/>
              <w:spacing w:line="360" w:lineRule="auto"/>
              <w:ind w:firstLine="480" w:firstLineChars="200"/>
              <w:jc w:val="both"/>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根据江西同欣检测技术有限公司所出监测报告（附件11）可知，公众年有效剂量估算结果如下表所示。</w:t>
            </w:r>
          </w:p>
          <w:p>
            <w:pPr>
              <w:widowControl w:val="0"/>
              <w:spacing w:before="156" w:beforeLines="50" w:after="156" w:afterLines="50" w:line="0" w:lineRule="atLeast"/>
              <w:jc w:val="center"/>
              <w:rPr>
                <w:rFonts w:hint="eastAsia" w:ascii="黑体" w:hAnsi="黑体" w:eastAsia="黑体"/>
                <w:bCs/>
                <w:snapToGrid w:val="0"/>
                <w:color w:val="auto"/>
                <w:kern w:val="2"/>
              </w:rPr>
            </w:pPr>
            <w:r>
              <w:rPr>
                <w:rFonts w:hint="eastAsia" w:ascii="黑体" w:hAnsi="黑体" w:eastAsia="黑体"/>
                <w:bCs/>
                <w:snapToGrid w:val="0"/>
                <w:color w:val="auto"/>
                <w:kern w:val="2"/>
              </w:rPr>
              <w:t>表</w:t>
            </w:r>
            <w:r>
              <w:rPr>
                <w:rFonts w:hint="eastAsia" w:ascii="黑体" w:hAnsi="黑体" w:eastAsia="黑体"/>
                <w:bCs/>
                <w:snapToGrid w:val="0"/>
                <w:color w:val="auto"/>
                <w:kern w:val="2"/>
                <w:lang w:val="en-US" w:eastAsia="zh-CN"/>
              </w:rPr>
              <w:t>7</w:t>
            </w:r>
            <w:r>
              <w:rPr>
                <w:rFonts w:ascii="黑体" w:hAnsi="黑体" w:eastAsia="黑体"/>
                <w:bCs/>
                <w:snapToGrid w:val="0"/>
                <w:color w:val="auto"/>
                <w:kern w:val="2"/>
              </w:rPr>
              <w:t>-</w:t>
            </w:r>
            <w:r>
              <w:rPr>
                <w:rFonts w:hint="eastAsia" w:ascii="黑体" w:hAnsi="黑体" w:eastAsia="黑体"/>
                <w:bCs/>
                <w:snapToGrid w:val="0"/>
                <w:color w:val="auto"/>
                <w:kern w:val="2"/>
                <w:lang w:val="en-US" w:eastAsia="zh-CN"/>
              </w:rPr>
              <w:t>3</w:t>
            </w:r>
            <w:r>
              <w:rPr>
                <w:rFonts w:hint="eastAsia" w:ascii="黑体" w:hAnsi="黑体" w:eastAsia="黑体"/>
                <w:bCs/>
                <w:snapToGrid w:val="0"/>
                <w:color w:val="auto"/>
                <w:kern w:val="2"/>
              </w:rPr>
              <w:t xml:space="preserve"> 公众</w:t>
            </w:r>
            <w:r>
              <w:rPr>
                <w:rFonts w:hint="eastAsia" w:ascii="黑体" w:hAnsi="黑体" w:eastAsia="黑体"/>
                <w:bCs/>
                <w:snapToGrid w:val="0"/>
                <w:color w:val="auto"/>
                <w:kern w:val="2"/>
                <w:lang w:eastAsia="zh-CN"/>
              </w:rPr>
              <w:t>年</w:t>
            </w:r>
            <w:r>
              <w:rPr>
                <w:rFonts w:hint="eastAsia" w:ascii="黑体" w:hAnsi="黑体" w:eastAsia="黑体"/>
                <w:bCs/>
                <w:snapToGrid w:val="0"/>
                <w:color w:val="auto"/>
                <w:kern w:val="2"/>
              </w:rPr>
              <w:t>剂量估算</w:t>
            </w:r>
          </w:p>
          <w:tbl>
            <w:tblPr>
              <w:tblStyle w:val="38"/>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760"/>
              <w:gridCol w:w="1978"/>
              <w:gridCol w:w="1699"/>
              <w:gridCol w:w="1060"/>
              <w:gridCol w:w="1038"/>
              <w:gridCol w:w="1198"/>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686" w:type="dxa"/>
                  <w:vAlign w:val="center"/>
                </w:tcPr>
                <w:p>
                  <w:pPr>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机房</w:t>
                  </w:r>
                </w:p>
              </w:tc>
              <w:tc>
                <w:tcPr>
                  <w:tcW w:w="760"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方位</w:t>
                  </w:r>
                </w:p>
              </w:tc>
              <w:tc>
                <w:tcPr>
                  <w:tcW w:w="1978"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保护目标</w:t>
                  </w:r>
                </w:p>
              </w:tc>
              <w:tc>
                <w:tcPr>
                  <w:tcW w:w="1699" w:type="dxa"/>
                  <w:vAlign w:val="center"/>
                </w:tcPr>
                <w:p>
                  <w:pPr>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所周围剂量当量率</w:t>
                  </w:r>
                  <w:r>
                    <w:rPr>
                      <w:rFonts w:ascii="Times New Roman" w:hAnsi="Times New Roman" w:cs="Times New Roman"/>
                      <w:b/>
                      <w:color w:val="auto"/>
                      <w:sz w:val="21"/>
                      <w:szCs w:val="21"/>
                    </w:rPr>
                    <w:t>最大值</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（μSv/h）</w:t>
                  </w:r>
                </w:p>
              </w:tc>
              <w:tc>
                <w:tcPr>
                  <w:tcW w:w="1060"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居留</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因子</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T</w:t>
                  </w:r>
                </w:p>
              </w:tc>
              <w:tc>
                <w:tcPr>
                  <w:tcW w:w="1038"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年有效剂量</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mSv/a</w:t>
                  </w:r>
                </w:p>
              </w:tc>
              <w:tc>
                <w:tcPr>
                  <w:tcW w:w="1198"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个人剂量管理限值</w:t>
                  </w:r>
                </w:p>
                <w:p>
                  <w:pPr>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w:t>
                  </w:r>
                  <w:r>
                    <w:rPr>
                      <w:rFonts w:ascii="Times New Roman" w:hAnsi="Times New Roman" w:cs="Times New Roman"/>
                      <w:b/>
                      <w:color w:val="auto"/>
                      <w:sz w:val="21"/>
                      <w:szCs w:val="21"/>
                    </w:rPr>
                    <w:t>mSv/a</w:t>
                  </w:r>
                  <w:r>
                    <w:rPr>
                      <w:rFonts w:hint="eastAsia" w:ascii="Times New Roman" w:hAnsi="Times New Roman" w:cs="Times New Roman"/>
                      <w:b/>
                      <w:color w:val="auto"/>
                      <w:sz w:val="21"/>
                      <w:szCs w:val="21"/>
                    </w:rPr>
                    <w:t>）</w:t>
                  </w:r>
                </w:p>
              </w:tc>
              <w:tc>
                <w:tcPr>
                  <w:tcW w:w="682"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是否</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6"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DSA</w:t>
                  </w:r>
                </w:p>
              </w:tc>
              <w:tc>
                <w:tcPr>
                  <w:tcW w:w="760" w:type="dxa"/>
                  <w:vMerge w:val="restart"/>
                  <w:vAlign w:val="center"/>
                </w:tcPr>
                <w:p>
                  <w:pPr>
                    <w:jc w:val="center"/>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北侧</w:t>
                  </w:r>
                </w:p>
              </w:tc>
              <w:tc>
                <w:tcPr>
                  <w:tcW w:w="1978" w:type="dxa"/>
                  <w:vAlign w:val="center"/>
                </w:tcPr>
                <w:p>
                  <w:pPr>
                    <w:jc w:val="center"/>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患者及家属</w:t>
                  </w:r>
                </w:p>
              </w:tc>
              <w:tc>
                <w:tcPr>
                  <w:tcW w:w="169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c>
                <w:tcPr>
                  <w:tcW w:w="1060"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16</w:t>
                  </w:r>
                </w:p>
              </w:tc>
              <w:tc>
                <w:tcPr>
                  <w:tcW w:w="103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0.0020</w:t>
                  </w:r>
                </w:p>
              </w:tc>
              <w:tc>
                <w:tcPr>
                  <w:tcW w:w="1198" w:type="dxa"/>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6" w:type="dxa"/>
                  <w:vMerge w:val="continue"/>
                  <w:vAlign w:val="center"/>
                </w:tcPr>
                <w:p>
                  <w:pPr>
                    <w:jc w:val="center"/>
                    <w:rPr>
                      <w:rFonts w:hint="eastAsia" w:ascii="Times New Roman" w:hAnsi="Times New Roman" w:cs="Times New Roman"/>
                      <w:color w:val="auto"/>
                      <w:sz w:val="21"/>
                      <w:szCs w:val="21"/>
                      <w:lang w:val="en-US" w:eastAsia="zh-CN"/>
                    </w:rPr>
                  </w:pPr>
                </w:p>
              </w:tc>
              <w:tc>
                <w:tcPr>
                  <w:tcW w:w="760" w:type="dxa"/>
                  <w:vMerge w:val="continue"/>
                  <w:vAlign w:val="center"/>
                </w:tcPr>
                <w:p>
                  <w:pPr>
                    <w:jc w:val="center"/>
                    <w:rPr>
                      <w:rFonts w:ascii="Times New Roman" w:hAnsi="Times New Roman" w:cs="Times New Roman"/>
                      <w:color w:val="auto"/>
                      <w:sz w:val="21"/>
                      <w:szCs w:val="21"/>
                    </w:rPr>
                  </w:pPr>
                </w:p>
              </w:tc>
              <w:tc>
                <w:tcPr>
                  <w:tcW w:w="1978" w:type="dxa"/>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医护</w:t>
                  </w:r>
                  <w:r>
                    <w:rPr>
                      <w:rFonts w:ascii="Times New Roman" w:hAnsi="Times New Roman" w:cs="Times New Roman"/>
                      <w:color w:val="auto"/>
                      <w:sz w:val="21"/>
                      <w:szCs w:val="21"/>
                    </w:rPr>
                    <w:t>人员</w:t>
                  </w:r>
                </w:p>
              </w:tc>
              <w:tc>
                <w:tcPr>
                  <w:tcW w:w="1699"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c>
                <w:tcPr>
                  <w:tcW w:w="1060" w:type="dxa"/>
                  <w:vAlign w:val="center"/>
                </w:tcPr>
                <w:p>
                  <w:pPr>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4</w:t>
                  </w:r>
                </w:p>
              </w:tc>
              <w:tc>
                <w:tcPr>
                  <w:tcW w:w="1038"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0.0080</w:t>
                  </w:r>
                </w:p>
              </w:tc>
              <w:tc>
                <w:tcPr>
                  <w:tcW w:w="119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6" w:type="dxa"/>
                  <w:vMerge w:val="continue"/>
                  <w:vAlign w:val="center"/>
                </w:tcPr>
                <w:p>
                  <w:pPr>
                    <w:jc w:val="center"/>
                    <w:rPr>
                      <w:rFonts w:ascii="Times New Roman" w:hAnsi="Times New Roman" w:cs="Times New Roman"/>
                      <w:color w:val="auto"/>
                      <w:sz w:val="21"/>
                      <w:szCs w:val="21"/>
                    </w:rPr>
                  </w:pPr>
                </w:p>
              </w:tc>
              <w:tc>
                <w:tcPr>
                  <w:tcW w:w="760" w:type="dxa"/>
                  <w:vMerge w:val="restart"/>
                  <w:vAlign w:val="center"/>
                </w:tcPr>
                <w:p>
                  <w:pPr>
                    <w:jc w:val="center"/>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东侧</w:t>
                  </w:r>
                </w:p>
              </w:tc>
              <w:tc>
                <w:tcPr>
                  <w:tcW w:w="1978" w:type="dxa"/>
                  <w:vAlign w:val="center"/>
                </w:tcPr>
                <w:p>
                  <w:pPr>
                    <w:jc w:val="center"/>
                    <w:rPr>
                      <w:rFonts w:hint="eastAsia"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患者及家属</w:t>
                  </w:r>
                </w:p>
              </w:tc>
              <w:tc>
                <w:tcPr>
                  <w:tcW w:w="169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1060" w:type="dxa"/>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16</w:t>
                  </w:r>
                </w:p>
              </w:tc>
              <w:tc>
                <w:tcPr>
                  <w:tcW w:w="103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0.0023</w:t>
                  </w:r>
                </w:p>
              </w:tc>
              <w:tc>
                <w:tcPr>
                  <w:tcW w:w="1198" w:type="dxa"/>
                  <w:vAlign w:val="center"/>
                </w:tcPr>
                <w:p>
                  <w:pPr>
                    <w:jc w:val="center"/>
                    <w:rPr>
                      <w:rFonts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6" w:type="dxa"/>
                  <w:vMerge w:val="continue"/>
                  <w:vAlign w:val="center"/>
                </w:tcPr>
                <w:p>
                  <w:pPr>
                    <w:jc w:val="center"/>
                    <w:rPr>
                      <w:rFonts w:ascii="Times New Roman" w:hAnsi="Times New Roman" w:cs="Times New Roman"/>
                      <w:color w:val="auto"/>
                      <w:sz w:val="21"/>
                      <w:szCs w:val="21"/>
                    </w:rPr>
                  </w:pPr>
                </w:p>
              </w:tc>
              <w:tc>
                <w:tcPr>
                  <w:tcW w:w="760" w:type="dxa"/>
                  <w:vMerge w:val="continue"/>
                  <w:vAlign w:val="center"/>
                </w:tcPr>
                <w:p>
                  <w:pPr>
                    <w:jc w:val="center"/>
                    <w:rPr>
                      <w:rFonts w:ascii="Times New Roman" w:hAnsi="Times New Roman" w:cs="Times New Roman"/>
                      <w:color w:val="auto"/>
                      <w:sz w:val="21"/>
                      <w:szCs w:val="21"/>
                    </w:rPr>
                  </w:pPr>
                </w:p>
              </w:tc>
              <w:tc>
                <w:tcPr>
                  <w:tcW w:w="1978" w:type="dxa"/>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医护</w:t>
                  </w:r>
                  <w:r>
                    <w:rPr>
                      <w:rFonts w:ascii="Times New Roman" w:hAnsi="Times New Roman" w:cs="Times New Roman"/>
                      <w:color w:val="auto"/>
                      <w:sz w:val="21"/>
                      <w:szCs w:val="21"/>
                    </w:rPr>
                    <w:t>人员</w:t>
                  </w:r>
                </w:p>
              </w:tc>
              <w:tc>
                <w:tcPr>
                  <w:tcW w:w="1699"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1060" w:type="dxa"/>
                  <w:vAlign w:val="center"/>
                </w:tcPr>
                <w:p>
                  <w:pPr>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4</w:t>
                  </w:r>
                </w:p>
              </w:tc>
              <w:tc>
                <w:tcPr>
                  <w:tcW w:w="103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0.0092</w:t>
                  </w:r>
                </w:p>
              </w:tc>
              <w:tc>
                <w:tcPr>
                  <w:tcW w:w="119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6" w:type="dxa"/>
                  <w:vMerge w:val="continue"/>
                  <w:vAlign w:val="center"/>
                </w:tcPr>
                <w:p>
                  <w:pPr>
                    <w:jc w:val="center"/>
                    <w:rPr>
                      <w:rFonts w:ascii="Times New Roman" w:hAnsi="Times New Roman" w:cs="Times New Roman"/>
                      <w:color w:val="auto"/>
                      <w:sz w:val="21"/>
                      <w:szCs w:val="21"/>
                    </w:rPr>
                  </w:pPr>
                </w:p>
              </w:tc>
              <w:tc>
                <w:tcPr>
                  <w:tcW w:w="760" w:type="dxa"/>
                  <w:vMerge w:val="restart"/>
                  <w:vAlign w:val="center"/>
                </w:tcPr>
                <w:p>
                  <w:pPr>
                    <w:jc w:val="center"/>
                    <w:rPr>
                      <w:rFonts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rPr>
                    <w:t>南侧</w:t>
                  </w:r>
                </w:p>
              </w:tc>
              <w:tc>
                <w:tcPr>
                  <w:tcW w:w="1978" w:type="dxa"/>
                  <w:vAlign w:val="center"/>
                </w:tcPr>
                <w:p>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rPr>
                    <w:t>医护</w:t>
                  </w:r>
                  <w:r>
                    <w:rPr>
                      <w:rFonts w:ascii="Times New Roman" w:hAnsi="Times New Roman" w:cs="Times New Roman"/>
                      <w:color w:val="auto"/>
                      <w:sz w:val="21"/>
                      <w:szCs w:val="21"/>
                    </w:rPr>
                    <w:t>人员</w:t>
                  </w:r>
                </w:p>
              </w:tc>
              <w:tc>
                <w:tcPr>
                  <w:tcW w:w="169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0.14</w:t>
                  </w:r>
                </w:p>
              </w:tc>
              <w:tc>
                <w:tcPr>
                  <w:tcW w:w="1060" w:type="dxa"/>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4</w:t>
                  </w:r>
                </w:p>
              </w:tc>
              <w:tc>
                <w:tcPr>
                  <w:tcW w:w="103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0.0022</w:t>
                  </w:r>
                </w:p>
              </w:tc>
              <w:tc>
                <w:tcPr>
                  <w:tcW w:w="1198" w:type="dxa"/>
                  <w:vAlign w:val="center"/>
                </w:tcPr>
                <w:p>
                  <w:pPr>
                    <w:jc w:val="center"/>
                    <w:rPr>
                      <w:rFonts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jc w:val="center"/>
              </w:trPr>
              <w:tc>
                <w:tcPr>
                  <w:tcW w:w="686" w:type="dxa"/>
                  <w:vMerge w:val="continue"/>
                  <w:vAlign w:val="center"/>
                </w:tcPr>
                <w:p>
                  <w:pPr>
                    <w:jc w:val="center"/>
                    <w:rPr>
                      <w:rFonts w:ascii="Times New Roman" w:hAnsi="Times New Roman" w:cs="Times New Roman"/>
                      <w:color w:val="auto"/>
                      <w:sz w:val="21"/>
                      <w:szCs w:val="21"/>
                    </w:rPr>
                  </w:pPr>
                </w:p>
              </w:tc>
              <w:tc>
                <w:tcPr>
                  <w:tcW w:w="760" w:type="dxa"/>
                  <w:vMerge w:val="continue"/>
                  <w:vAlign w:val="center"/>
                </w:tcPr>
                <w:p>
                  <w:pPr>
                    <w:jc w:val="center"/>
                    <w:rPr>
                      <w:rFonts w:hint="eastAsia" w:ascii="Times New Roman" w:hAnsi="Times New Roman" w:cs="Times New Roman"/>
                      <w:color w:val="auto"/>
                      <w:sz w:val="21"/>
                      <w:szCs w:val="21"/>
                    </w:rPr>
                  </w:pPr>
                </w:p>
              </w:tc>
              <w:tc>
                <w:tcPr>
                  <w:tcW w:w="1978" w:type="dxa"/>
                  <w:vAlign w:val="center"/>
                </w:tcPr>
                <w:p>
                  <w:pPr>
                    <w:jc w:val="center"/>
                    <w:rPr>
                      <w:rFonts w:hint="eastAsia" w:ascii="Times New Roman" w:hAnsi="Times New Roman" w:cs="Times New Roman"/>
                      <w:color w:val="auto"/>
                      <w:sz w:val="21"/>
                      <w:szCs w:val="21"/>
                    </w:rPr>
                  </w:pPr>
                  <w:r>
                    <w:rPr>
                      <w:rFonts w:ascii="Times New Roman" w:hAnsi="Times New Roman" w:cs="Times New Roman"/>
                      <w:color w:val="auto"/>
                      <w:sz w:val="21"/>
                      <w:szCs w:val="21"/>
                    </w:rPr>
                    <w:t>患者及家属</w:t>
                  </w:r>
                </w:p>
              </w:tc>
              <w:tc>
                <w:tcPr>
                  <w:tcW w:w="1699"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0.14</w:t>
                  </w:r>
                </w:p>
              </w:tc>
              <w:tc>
                <w:tcPr>
                  <w:tcW w:w="1060" w:type="dxa"/>
                  <w:vAlign w:val="center"/>
                </w:tcPr>
                <w:p>
                  <w:pPr>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16</w:t>
                  </w:r>
                </w:p>
              </w:tc>
              <w:tc>
                <w:tcPr>
                  <w:tcW w:w="103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0.0088</w:t>
                  </w:r>
                </w:p>
              </w:tc>
              <w:tc>
                <w:tcPr>
                  <w:tcW w:w="119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6" w:type="dxa"/>
                  <w:vMerge w:val="continue"/>
                  <w:vAlign w:val="center"/>
                </w:tcPr>
                <w:p>
                  <w:pPr>
                    <w:jc w:val="center"/>
                    <w:rPr>
                      <w:rFonts w:ascii="Times New Roman" w:hAnsi="Times New Roman" w:cs="Times New Roman"/>
                      <w:color w:val="auto"/>
                      <w:sz w:val="21"/>
                      <w:szCs w:val="21"/>
                    </w:rPr>
                  </w:pPr>
                </w:p>
              </w:tc>
              <w:tc>
                <w:tcPr>
                  <w:tcW w:w="760" w:type="dxa"/>
                  <w:vMerge w:val="restart"/>
                  <w:vAlign w:val="center"/>
                </w:tcPr>
                <w:p>
                  <w:pPr>
                    <w:jc w:val="center"/>
                    <w:rPr>
                      <w:rFonts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rPr>
                    <w:t>西侧</w:t>
                  </w:r>
                </w:p>
              </w:tc>
              <w:tc>
                <w:tcPr>
                  <w:tcW w:w="1978" w:type="dxa"/>
                  <w:vAlign w:val="center"/>
                </w:tcPr>
                <w:p>
                  <w:pPr>
                    <w:jc w:val="center"/>
                    <w:rPr>
                      <w:rFonts w:hint="eastAsia"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医护人员</w:t>
                  </w:r>
                </w:p>
              </w:tc>
              <w:tc>
                <w:tcPr>
                  <w:tcW w:w="169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c>
                <w:tcPr>
                  <w:tcW w:w="1060" w:type="dxa"/>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4</w:t>
                  </w:r>
                </w:p>
              </w:tc>
              <w:tc>
                <w:tcPr>
                  <w:tcW w:w="1038" w:type="dxa"/>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0.0020</w:t>
                  </w:r>
                </w:p>
              </w:tc>
              <w:tc>
                <w:tcPr>
                  <w:tcW w:w="1198" w:type="dxa"/>
                  <w:vAlign w:val="center"/>
                </w:tcPr>
                <w:p>
                  <w:pPr>
                    <w:jc w:val="center"/>
                    <w:rPr>
                      <w:rFonts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6" w:type="dxa"/>
                  <w:vMerge w:val="continue"/>
                  <w:vAlign w:val="center"/>
                </w:tcPr>
                <w:p>
                  <w:pPr>
                    <w:jc w:val="center"/>
                    <w:rPr>
                      <w:rFonts w:ascii="Times New Roman" w:hAnsi="Times New Roman" w:cs="Times New Roman"/>
                      <w:color w:val="auto"/>
                      <w:sz w:val="21"/>
                      <w:szCs w:val="21"/>
                    </w:rPr>
                  </w:pPr>
                </w:p>
              </w:tc>
              <w:tc>
                <w:tcPr>
                  <w:tcW w:w="760" w:type="dxa"/>
                  <w:vMerge w:val="continue"/>
                  <w:vAlign w:val="center"/>
                </w:tcPr>
                <w:p>
                  <w:pPr>
                    <w:jc w:val="center"/>
                    <w:rPr>
                      <w:rFonts w:hint="eastAsia" w:ascii="Times New Roman" w:hAnsi="Times New Roman" w:cs="Times New Roman"/>
                      <w:color w:val="auto"/>
                      <w:sz w:val="21"/>
                      <w:szCs w:val="21"/>
                    </w:rPr>
                  </w:pPr>
                </w:p>
              </w:tc>
              <w:tc>
                <w:tcPr>
                  <w:tcW w:w="1978"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患者及家属</w:t>
                  </w:r>
                </w:p>
              </w:tc>
              <w:tc>
                <w:tcPr>
                  <w:tcW w:w="1699"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c>
                <w:tcPr>
                  <w:tcW w:w="1060" w:type="dxa"/>
                  <w:vAlign w:val="center"/>
                </w:tcPr>
                <w:p>
                  <w:pPr>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16</w:t>
                  </w:r>
                </w:p>
              </w:tc>
              <w:tc>
                <w:tcPr>
                  <w:tcW w:w="1038" w:type="dxa"/>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0.0080</w:t>
                  </w:r>
                </w:p>
              </w:tc>
              <w:tc>
                <w:tcPr>
                  <w:tcW w:w="119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6" w:type="dxa"/>
                  <w:vMerge w:val="continue"/>
                  <w:vAlign w:val="center"/>
                </w:tcPr>
                <w:p>
                  <w:pPr>
                    <w:jc w:val="center"/>
                    <w:rPr>
                      <w:rFonts w:ascii="Times New Roman" w:hAnsi="Times New Roman" w:cs="Times New Roman"/>
                      <w:color w:val="auto"/>
                      <w:sz w:val="21"/>
                      <w:szCs w:val="21"/>
                    </w:rPr>
                  </w:pPr>
                </w:p>
              </w:tc>
              <w:tc>
                <w:tcPr>
                  <w:tcW w:w="760" w:type="dxa"/>
                  <w:vMerge w:val="restart"/>
                  <w:vAlign w:val="center"/>
                </w:tcPr>
                <w:p>
                  <w:pPr>
                    <w:jc w:val="center"/>
                    <w:rPr>
                      <w:rFonts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eastAsia="zh-CN"/>
                    </w:rPr>
                    <w:t>上</w:t>
                  </w:r>
                  <w:r>
                    <w:rPr>
                      <w:rFonts w:ascii="Times New Roman" w:hAnsi="Times New Roman" w:cs="Times New Roman"/>
                      <w:color w:val="auto"/>
                      <w:sz w:val="21"/>
                      <w:szCs w:val="21"/>
                    </w:rPr>
                    <w:t>方</w:t>
                  </w:r>
                </w:p>
              </w:tc>
              <w:tc>
                <w:tcPr>
                  <w:tcW w:w="1978" w:type="dxa"/>
                  <w:vAlign w:val="center"/>
                </w:tcPr>
                <w:p>
                  <w:pPr>
                    <w:jc w:val="center"/>
                    <w:rPr>
                      <w:rFonts w:hint="eastAsia"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医护人员</w:t>
                  </w:r>
                </w:p>
              </w:tc>
              <w:tc>
                <w:tcPr>
                  <w:tcW w:w="169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0.14</w:t>
                  </w:r>
                </w:p>
              </w:tc>
              <w:tc>
                <w:tcPr>
                  <w:tcW w:w="1060" w:type="dxa"/>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4</w:t>
                  </w:r>
                </w:p>
              </w:tc>
              <w:tc>
                <w:tcPr>
                  <w:tcW w:w="1038" w:type="dxa"/>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0.0022</w:t>
                  </w:r>
                </w:p>
              </w:tc>
              <w:tc>
                <w:tcPr>
                  <w:tcW w:w="1198" w:type="dxa"/>
                  <w:vAlign w:val="center"/>
                </w:tcPr>
                <w:p>
                  <w:pPr>
                    <w:jc w:val="center"/>
                    <w:rPr>
                      <w:rFonts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jc w:val="center"/>
              </w:trPr>
              <w:tc>
                <w:tcPr>
                  <w:tcW w:w="686" w:type="dxa"/>
                  <w:vMerge w:val="continue"/>
                  <w:vAlign w:val="center"/>
                </w:tcPr>
                <w:p>
                  <w:pPr>
                    <w:jc w:val="center"/>
                    <w:rPr>
                      <w:rFonts w:ascii="Times New Roman" w:hAnsi="Times New Roman" w:cs="Times New Roman"/>
                      <w:color w:val="auto"/>
                      <w:sz w:val="21"/>
                      <w:szCs w:val="21"/>
                    </w:rPr>
                  </w:pPr>
                </w:p>
              </w:tc>
              <w:tc>
                <w:tcPr>
                  <w:tcW w:w="760" w:type="dxa"/>
                  <w:vMerge w:val="continue"/>
                  <w:vAlign w:val="center"/>
                </w:tcPr>
                <w:p>
                  <w:pPr>
                    <w:jc w:val="center"/>
                    <w:rPr>
                      <w:rFonts w:hint="eastAsia" w:ascii="Times New Roman" w:hAnsi="Times New Roman" w:cs="Times New Roman"/>
                      <w:color w:val="auto"/>
                      <w:sz w:val="21"/>
                      <w:szCs w:val="21"/>
                      <w:lang w:eastAsia="zh-CN"/>
                    </w:rPr>
                  </w:pPr>
                </w:p>
              </w:tc>
              <w:tc>
                <w:tcPr>
                  <w:tcW w:w="1978"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患者及家属</w:t>
                  </w:r>
                </w:p>
              </w:tc>
              <w:tc>
                <w:tcPr>
                  <w:tcW w:w="1699"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0.14</w:t>
                  </w:r>
                </w:p>
              </w:tc>
              <w:tc>
                <w:tcPr>
                  <w:tcW w:w="1060" w:type="dxa"/>
                  <w:vAlign w:val="center"/>
                </w:tcPr>
                <w:p>
                  <w:pPr>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16</w:t>
                  </w:r>
                </w:p>
              </w:tc>
              <w:tc>
                <w:tcPr>
                  <w:tcW w:w="1038" w:type="dxa"/>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0.0088</w:t>
                  </w:r>
                </w:p>
              </w:tc>
              <w:tc>
                <w:tcPr>
                  <w:tcW w:w="119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c>
                <w:tcPr>
                  <w:tcW w:w="68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是</w:t>
                  </w:r>
                </w:p>
              </w:tc>
            </w:tr>
          </w:tbl>
          <w:p>
            <w:pPr>
              <w:pStyle w:val="14"/>
              <w:widowControl w:val="0"/>
              <w:spacing w:line="360" w:lineRule="auto"/>
              <w:ind w:firstLine="480" w:firstLineChars="200"/>
              <w:jc w:val="both"/>
              <w:rPr>
                <w:rFonts w:hint="eastAsia" w:eastAsia="宋体"/>
                <w:b w:val="0"/>
                <w:bCs w:val="0"/>
                <w:color w:val="auto"/>
                <w:sz w:val="24"/>
                <w:szCs w:val="24"/>
                <w:lang w:val="en-US" w:eastAsia="zh-CN"/>
              </w:rPr>
            </w:pPr>
            <w:r>
              <w:rPr>
                <w:rFonts w:hint="eastAsia"/>
                <w:color w:val="auto"/>
                <w:sz w:val="24"/>
                <w:szCs w:val="24"/>
                <w:lang w:val="en-US" w:eastAsia="zh-CN"/>
              </w:rPr>
              <w:t>根据表7-3估算结果，本项目公众辐射年有效剂量最大值为0.00</w:t>
            </w:r>
            <w:r>
              <w:rPr>
                <w:rFonts w:hint="eastAsia"/>
                <w:b w:val="0"/>
                <w:bCs w:val="0"/>
                <w:color w:val="auto"/>
                <w:sz w:val="24"/>
                <w:szCs w:val="24"/>
                <w:lang w:val="en-US" w:eastAsia="zh-CN"/>
              </w:rPr>
              <w:t>23</w:t>
            </w:r>
            <w:r>
              <w:rPr>
                <w:rFonts w:ascii="Times New Roman" w:hAnsi="Times New Roman" w:cs="Times New Roman"/>
                <w:b w:val="0"/>
                <w:bCs w:val="0"/>
                <w:color w:val="auto"/>
                <w:sz w:val="24"/>
                <w:szCs w:val="24"/>
              </w:rPr>
              <w:t>mSv</w:t>
            </w:r>
            <w:r>
              <w:rPr>
                <w:rFonts w:hint="eastAsia" w:cs="Times New Roman"/>
                <w:b w:val="0"/>
                <w:bCs w:val="0"/>
                <w:color w:val="auto"/>
                <w:sz w:val="24"/>
                <w:szCs w:val="24"/>
                <w:lang w:eastAsia="zh-CN"/>
              </w:rPr>
              <w:t>，满足本项目管理目标要求。</w:t>
            </w:r>
          </w:p>
          <w:p>
            <w:pPr>
              <w:widowControl w:val="0"/>
              <w:autoSpaceDE w:val="0"/>
              <w:autoSpaceDN w:val="0"/>
              <w:adjustRightInd w:val="0"/>
              <w:snapToGrid w:val="0"/>
              <w:spacing w:line="360" w:lineRule="auto"/>
              <w:jc w:val="both"/>
              <w:rPr>
                <w:rFonts w:hint="eastAsia"/>
                <w:color w:val="auto"/>
                <w:lang w:eastAsia="zh-CN"/>
              </w:rPr>
            </w:pPr>
            <w:r>
              <w:rPr>
                <w:rFonts w:hint="eastAsia"/>
                <w:color w:val="auto"/>
                <w:lang w:eastAsia="zh-CN"/>
              </w:rPr>
              <w:t>二、噪声影响分析</w:t>
            </w:r>
          </w:p>
          <w:p>
            <w:pPr>
              <w:pStyle w:val="2"/>
              <w:spacing w:line="360" w:lineRule="auto"/>
              <w:jc w:val="both"/>
              <w:rPr>
                <w:rFonts w:hint="eastAsia" w:ascii="宋体" w:hAnsi="宋体" w:eastAsia="宋体" w:cs="宋体"/>
                <w:color w:val="auto"/>
                <w:sz w:val="24"/>
                <w:szCs w:val="24"/>
                <w:lang w:val="en-US" w:eastAsia="zh-CN" w:bidi="ar-SA"/>
              </w:rPr>
            </w:pPr>
            <w:r>
              <w:rPr>
                <w:rFonts w:hint="eastAsia"/>
                <w:color w:val="auto"/>
                <w:lang w:val="en-US" w:eastAsia="zh-CN"/>
              </w:rPr>
              <w:t xml:space="preserve">    </w:t>
            </w:r>
            <w:r>
              <w:rPr>
                <w:rFonts w:hint="eastAsia" w:ascii="宋体" w:hAnsi="宋体" w:eastAsia="宋体" w:cs="宋体"/>
                <w:color w:val="auto"/>
                <w:sz w:val="24"/>
                <w:szCs w:val="24"/>
                <w:lang w:val="en-US" w:eastAsia="zh-CN" w:bidi="ar-SA"/>
              </w:rPr>
              <w:t>本项目噪声源主要为空调外机和本设备运行时产生的噪声，本项目为未批先建项目，验收时没有新增产噪设备，根据环评时声环境质量现状监测结果，影像中心周边最大噪声监测值为56.4dB(A)，项目噪声对外环境的影响很小。</w:t>
            </w:r>
          </w:p>
          <w:p>
            <w:pPr>
              <w:pStyle w:val="14"/>
              <w:widowControl w:val="0"/>
              <w:numPr>
                <w:ilvl w:val="0"/>
                <w:numId w:val="2"/>
              </w:numPr>
              <w:spacing w:line="360" w:lineRule="auto"/>
              <w:ind w:left="0" w:leftChars="0" w:firstLine="0" w:firstLineChars="0"/>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废水处理依托性核查</w:t>
            </w:r>
          </w:p>
          <w:p>
            <w:pPr>
              <w:widowControl w:val="0"/>
              <w:spacing w:line="360" w:lineRule="auto"/>
              <w:ind w:firstLine="480" w:firstLineChars="200"/>
              <w:jc w:val="both"/>
              <w:rPr>
                <w:rFonts w:hint="eastAsia"/>
                <w:color w:val="auto"/>
                <w:kern w:val="0"/>
                <w:sz w:val="24"/>
                <w:lang w:val="en-US" w:eastAsia="zh-CN"/>
              </w:rPr>
            </w:pPr>
            <w:r>
              <w:rPr>
                <w:rFonts w:hint="eastAsia" w:asciiTheme="minorEastAsia" w:hAnsiTheme="minorEastAsia" w:eastAsiaTheme="minorEastAsia" w:cstheme="minorEastAsia"/>
                <w:color w:val="auto"/>
                <w:sz w:val="24"/>
                <w:szCs w:val="24"/>
                <w:lang w:eastAsia="zh-CN"/>
              </w:rPr>
              <w:t>经现场核查，医院污水处理站已经过竣工环保验收，运营正常，</w:t>
            </w:r>
            <w:r>
              <w:rPr>
                <w:rFonts w:hint="eastAsia"/>
                <w:color w:val="auto"/>
                <w:kern w:val="0"/>
                <w:sz w:val="24"/>
                <w:lang w:eastAsia="zh-CN"/>
              </w:rPr>
              <w:t>污水排放</w:t>
            </w:r>
            <w:r>
              <w:rPr>
                <w:rFonts w:hint="eastAsia"/>
                <w:color w:val="auto"/>
                <w:kern w:val="0"/>
                <w:sz w:val="24"/>
                <w:lang w:val="en-US" w:eastAsia="zh-CN"/>
              </w:rPr>
              <w:t>能</w:t>
            </w:r>
            <w:r>
              <w:rPr>
                <w:rFonts w:hint="eastAsia"/>
                <w:color w:val="auto"/>
                <w:kern w:val="0"/>
                <w:sz w:val="24"/>
                <w:lang w:eastAsia="zh-CN"/>
              </w:rPr>
              <w:t>达到《医疗机构水污染物排放标准》（</w:t>
            </w:r>
            <w:r>
              <w:rPr>
                <w:rFonts w:hint="eastAsia"/>
                <w:color w:val="auto"/>
                <w:kern w:val="0"/>
                <w:sz w:val="24"/>
                <w:lang w:val="en-US" w:eastAsia="zh-CN"/>
              </w:rPr>
              <w:t>GB18466-2005）表1中的相关标准要求（氨氮能达到</w:t>
            </w:r>
            <w:r>
              <w:rPr>
                <w:rFonts w:hint="eastAsia" w:ascii="宋体" w:hAnsi="宋体" w:cs="宋体"/>
                <w:color w:val="auto"/>
                <w:spacing w:val="0"/>
                <w:sz w:val="24"/>
                <w:szCs w:val="24"/>
                <w:lang w:eastAsia="zh-CN"/>
              </w:rPr>
              <w:t>《污水排入城镇下水道水质标准》（GB/T31962-2015）</w:t>
            </w:r>
            <w:r>
              <w:rPr>
                <w:rFonts w:hint="eastAsia" w:ascii="宋体" w:hAnsi="宋体" w:cs="宋体"/>
                <w:color w:val="auto"/>
                <w:spacing w:val="0"/>
                <w:sz w:val="24"/>
                <w:szCs w:val="24"/>
                <w:lang w:val="en-US" w:eastAsia="zh-CN"/>
              </w:rPr>
              <w:t>表1中B级标准）</w:t>
            </w:r>
            <w:r>
              <w:rPr>
                <w:rFonts w:hint="eastAsia"/>
                <w:color w:val="auto"/>
                <w:kern w:val="0"/>
                <w:sz w:val="24"/>
                <w:lang w:val="en-US" w:eastAsia="zh-CN"/>
              </w:rPr>
              <w:t>，废水排放符合标准要求。</w:t>
            </w:r>
          </w:p>
          <w:p>
            <w:pPr>
              <w:widowControl w:val="0"/>
              <w:spacing w:line="360" w:lineRule="auto"/>
              <w:ind w:firstLine="480" w:firstLineChars="200"/>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废水达标排放。</w:t>
            </w:r>
          </w:p>
          <w:p>
            <w:pPr>
              <w:widowControl w:val="0"/>
              <w:numPr>
                <w:ilvl w:val="0"/>
                <w:numId w:val="2"/>
              </w:numPr>
              <w:spacing w:line="360" w:lineRule="auto"/>
              <w:ind w:left="0" w:leftChars="0" w:firstLine="0" w:firstLineChars="0"/>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固废处置依托性核查</w:t>
            </w:r>
          </w:p>
          <w:p>
            <w:pPr>
              <w:pStyle w:val="2"/>
              <w:spacing w:line="360" w:lineRule="auto"/>
              <w:ind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经现场核查，本项目产生的医疗废物暂存于危废暂存间，已经与</w:t>
            </w:r>
            <w:r>
              <w:rPr>
                <w:rFonts w:hint="eastAsia" w:ascii="宋体" w:hAnsi="宋体" w:eastAsia="宋体" w:cs="宋体"/>
                <w:color w:val="auto"/>
                <w:sz w:val="24"/>
                <w:szCs w:val="24"/>
                <w:lang w:val="en-US" w:eastAsia="zh-CN"/>
              </w:rPr>
              <w:t>安庆发投环保科技有限责任公司</w:t>
            </w:r>
            <w:r>
              <w:rPr>
                <w:rFonts w:hint="eastAsia" w:ascii="宋体" w:hAnsi="宋体" w:eastAsia="宋体" w:cs="宋体"/>
                <w:color w:val="auto"/>
                <w:sz w:val="24"/>
                <w:szCs w:val="24"/>
                <w:lang w:eastAsia="zh-CN"/>
              </w:rPr>
              <w:t>签订危废处置协议，</w:t>
            </w:r>
            <w:r>
              <w:rPr>
                <w:rFonts w:hint="eastAsia" w:ascii="宋体" w:hAnsi="宋体" w:eastAsia="宋体" w:cs="宋体"/>
                <w:color w:val="auto"/>
                <w:kern w:val="0"/>
                <w:sz w:val="24"/>
                <w:szCs w:val="24"/>
                <w:lang w:val="en-US" w:eastAsia="zh-CN"/>
              </w:rPr>
              <w:t>根据安徽省生态环境厅网站公开的资料，</w:t>
            </w:r>
            <w:r>
              <w:rPr>
                <w:rFonts w:hint="eastAsia" w:ascii="宋体" w:hAnsi="宋体" w:eastAsia="宋体" w:cs="宋体"/>
                <w:color w:val="auto"/>
                <w:sz w:val="24"/>
                <w:szCs w:val="24"/>
                <w:lang w:val="en-US" w:eastAsia="zh-CN"/>
              </w:rPr>
              <w:t>安庆发投环保科技有限责任公司有处置医疗废物的资质和能力。</w:t>
            </w:r>
          </w:p>
          <w:bookmarkEnd w:id="27"/>
          <w:p>
            <w:pPr>
              <w:widowControl w:val="0"/>
              <w:spacing w:line="336" w:lineRule="auto"/>
              <w:ind w:firstLine="480" w:firstLineChars="200"/>
              <w:jc w:val="both"/>
              <w:rPr>
                <w:color w:val="auto"/>
              </w:rPr>
            </w:pPr>
          </w:p>
        </w:tc>
      </w:tr>
    </w:tbl>
    <w:p>
      <w:pPr>
        <w:jc w:val="center"/>
        <w:rPr>
          <w:color w:val="auto"/>
        </w:rPr>
      </w:pPr>
    </w:p>
    <w:p>
      <w:pPr>
        <w:rPr>
          <w:color w:val="auto"/>
        </w:rPr>
      </w:pPr>
    </w:p>
    <w:p>
      <w:pPr>
        <w:pStyle w:val="4"/>
        <w:spacing w:line="360" w:lineRule="auto"/>
        <w:jc w:val="center"/>
        <w:rPr>
          <w:rFonts w:ascii="仿宋" w:hAnsi="仿宋" w:eastAsia="仿宋"/>
          <w:color w:val="auto"/>
          <w:sz w:val="28"/>
          <w:szCs w:val="28"/>
        </w:rPr>
      </w:pPr>
      <w:bookmarkStart w:id="28" w:name="_Toc61439342"/>
      <w:r>
        <w:rPr>
          <w:rFonts w:hint="eastAsia" w:ascii="仿宋" w:hAnsi="仿宋" w:eastAsia="仿宋"/>
          <w:color w:val="auto"/>
          <w:sz w:val="28"/>
          <w:szCs w:val="28"/>
        </w:rPr>
        <w:t>表八  核与辐射安全管理检查结果</w:t>
      </w:r>
      <w:bookmarkEnd w:id="28"/>
    </w:p>
    <w:tbl>
      <w:tblPr>
        <w:tblStyle w:val="38"/>
        <w:tblW w:w="95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691" w:hRule="atLeast"/>
          <w:jc w:val="center"/>
        </w:trPr>
        <w:tc>
          <w:tcPr>
            <w:tcW w:w="9584" w:type="dxa"/>
            <w:tcBorders>
              <w:top w:val="single" w:color="auto" w:sz="4" w:space="0"/>
              <w:left w:val="single" w:color="auto" w:sz="4" w:space="0"/>
              <w:bottom w:val="single" w:color="auto" w:sz="4" w:space="0"/>
              <w:right w:val="single" w:color="auto" w:sz="4" w:space="0"/>
            </w:tcBorders>
          </w:tcPr>
          <w:p>
            <w:pPr>
              <w:pStyle w:val="2"/>
              <w:spacing w:line="360" w:lineRule="auto"/>
              <w:jc w:val="both"/>
              <w:rPr>
                <w:rFonts w:hint="default" w:ascii="Times New Roman" w:hAnsi="Times New Roman" w:eastAsia="宋体" w:cs="Times New Roman"/>
                <w:b/>
                <w:color w:val="auto"/>
                <w:kern w:val="0"/>
                <w:sz w:val="21"/>
                <w:szCs w:val="21"/>
                <w:lang w:val="en-US" w:eastAsia="zh-CN" w:bidi="ar"/>
              </w:rPr>
            </w:pPr>
            <w:r>
              <w:rPr>
                <w:rFonts w:hint="default" w:ascii="Times New Roman" w:hAnsi="Times New Roman" w:eastAsia="宋体" w:cs="Times New Roman"/>
                <w:b/>
                <w:color w:val="auto"/>
                <w:kern w:val="0"/>
                <w:sz w:val="21"/>
                <w:szCs w:val="21"/>
                <w:lang w:val="en-US" w:eastAsia="zh-CN" w:bidi="ar"/>
              </w:rPr>
              <w:t>一、核与辐射安全管理检查结果：</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1、管理机构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
              </w:rPr>
            </w:pPr>
            <w:bookmarkStart w:id="29" w:name="_Toc18511"/>
            <w:r>
              <w:rPr>
                <w:rFonts w:hint="eastAsia" w:asciiTheme="minorEastAsia" w:hAnsiTheme="minorEastAsia" w:eastAsiaTheme="minorEastAsia" w:cstheme="minorEastAsia"/>
                <w:color w:val="auto"/>
                <w:kern w:val="0"/>
                <w:sz w:val="24"/>
                <w:szCs w:val="24"/>
                <w:lang w:val="en-US" w:eastAsia="zh-CN" w:bidi="ar"/>
              </w:rPr>
              <w:t xml:space="preserve">根据《关于修改&lt;放射性同位素与射线装置安全许可管理办法&gt;的决定》（生态环境部令第20号）的相关规定，应当设有专门的辐射安全与环境保护管理机构，应当有1名具有大专以上学历的技术人员专职或者兼职负责辐射安全与环境保护管理工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医院已于2020年5月8日下发了《关于成立辐射安全领导小组的通知》，成立了辐射防护工作领导小组，由分管院长汪念东担任组长，各科室主要负责人担任组员，明确了领导小组负责全院辐射防护安全管理工作。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辐射安全领导小组的组成如下：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组  长： 汪念东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成  员： 操海宝、黄柿兵、邵军、范腾、陈丽娟、孙静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相关人员联系方式：汪念东15215561971</w:t>
            </w:r>
          </w:p>
          <w:p>
            <w:pPr>
              <w:keepNext w:val="0"/>
              <w:keepLines w:val="0"/>
              <w:pageBreakBefore w:val="0"/>
              <w:widowControl w:val="0"/>
              <w:kinsoku/>
              <w:wordWrap/>
              <w:overflowPunct/>
              <w:topLinePunct w:val="0"/>
              <w:autoSpaceDE/>
              <w:autoSpaceDN/>
              <w:bidi w:val="0"/>
              <w:adjustRightInd/>
              <w:snapToGrid/>
              <w:spacing w:line="360" w:lineRule="auto"/>
              <w:ind w:firstLine="2640" w:firstLineChars="11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操海宝13955607907</w:t>
            </w:r>
          </w:p>
          <w:p>
            <w:pPr>
              <w:keepNext w:val="0"/>
              <w:keepLines w:val="0"/>
              <w:pageBreakBefore w:val="0"/>
              <w:widowControl w:val="0"/>
              <w:kinsoku/>
              <w:wordWrap/>
              <w:overflowPunct/>
              <w:topLinePunct w:val="0"/>
              <w:autoSpaceDE/>
              <w:autoSpaceDN/>
              <w:bidi w:val="0"/>
              <w:adjustRightInd/>
              <w:snapToGrid/>
              <w:spacing w:line="360" w:lineRule="auto"/>
              <w:ind w:firstLine="2640" w:firstLineChars="11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黄柿兵13605567709</w:t>
            </w:r>
          </w:p>
          <w:p>
            <w:pPr>
              <w:keepNext w:val="0"/>
              <w:keepLines w:val="0"/>
              <w:pageBreakBefore w:val="0"/>
              <w:widowControl w:val="0"/>
              <w:kinsoku/>
              <w:wordWrap/>
              <w:overflowPunct/>
              <w:topLinePunct w:val="0"/>
              <w:autoSpaceDE/>
              <w:autoSpaceDN/>
              <w:bidi w:val="0"/>
              <w:adjustRightInd/>
              <w:snapToGrid/>
              <w:spacing w:line="360" w:lineRule="auto"/>
              <w:ind w:firstLine="2640" w:firstLineChars="11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邵  军13956551669</w:t>
            </w:r>
          </w:p>
          <w:p>
            <w:pPr>
              <w:keepNext w:val="0"/>
              <w:keepLines w:val="0"/>
              <w:pageBreakBefore w:val="0"/>
              <w:widowControl w:val="0"/>
              <w:kinsoku/>
              <w:wordWrap/>
              <w:overflowPunct/>
              <w:topLinePunct w:val="0"/>
              <w:autoSpaceDE/>
              <w:autoSpaceDN/>
              <w:bidi w:val="0"/>
              <w:adjustRightInd/>
              <w:snapToGrid/>
              <w:spacing w:line="360" w:lineRule="auto"/>
              <w:ind w:firstLine="2640" w:firstLineChars="11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范  腾18955635805</w:t>
            </w:r>
          </w:p>
          <w:p>
            <w:pPr>
              <w:keepNext w:val="0"/>
              <w:keepLines w:val="0"/>
              <w:pageBreakBefore w:val="0"/>
              <w:widowControl w:val="0"/>
              <w:kinsoku/>
              <w:wordWrap/>
              <w:overflowPunct/>
              <w:topLinePunct w:val="0"/>
              <w:autoSpaceDE/>
              <w:autoSpaceDN/>
              <w:bidi w:val="0"/>
              <w:adjustRightInd/>
              <w:snapToGrid/>
              <w:spacing w:line="360" w:lineRule="auto"/>
              <w:ind w:firstLine="2640" w:firstLineChars="11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陈丽娟15055641116</w:t>
            </w:r>
          </w:p>
          <w:p>
            <w:pPr>
              <w:keepNext w:val="0"/>
              <w:keepLines w:val="0"/>
              <w:pageBreakBefore w:val="0"/>
              <w:widowControl w:val="0"/>
              <w:kinsoku/>
              <w:wordWrap/>
              <w:overflowPunct/>
              <w:topLinePunct w:val="0"/>
              <w:autoSpaceDE/>
              <w:autoSpaceDN/>
              <w:bidi w:val="0"/>
              <w:adjustRightInd/>
              <w:snapToGrid/>
              <w:spacing w:line="360" w:lineRule="auto"/>
              <w:ind w:firstLine="2640" w:firstLineChars="11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孙  静13637161231</w:t>
            </w:r>
          </w:p>
          <w:p>
            <w:pPr>
              <w:pStyle w:val="14"/>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办公室设在医学工程科，主任由范腾兼任。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辐射安全负责人为黄柿兵。</w:t>
            </w:r>
          </w:p>
          <w:bookmarkEnd w:id="29"/>
          <w:p>
            <w:pPr>
              <w:pStyle w:val="2"/>
              <w:spacing w:line="360" w:lineRule="auto"/>
              <w:ind w:firstLine="480" w:firstLineChars="200"/>
              <w:jc w:val="both"/>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本项目医务工作人员在医院内部调剂，没有新增辐射工作人员。</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2、管理制度及落实情况</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zh-CN" w:eastAsia="zh-CN" w:bidi="ar"/>
              </w:rPr>
            </w:pPr>
            <w:r>
              <w:rPr>
                <w:rFonts w:hint="eastAsia" w:asciiTheme="minorEastAsia" w:hAnsiTheme="minorEastAsia" w:eastAsiaTheme="minorEastAsia" w:cstheme="minorEastAsia"/>
                <w:color w:val="auto"/>
                <w:sz w:val="24"/>
                <w:szCs w:val="24"/>
                <w:lang w:val="en-US" w:eastAsia="zh-CN"/>
              </w:rPr>
              <w:t>南京鼓楼医院集团安庆市石化医院已</w:t>
            </w:r>
            <w:r>
              <w:rPr>
                <w:rFonts w:hint="eastAsia" w:asciiTheme="minorEastAsia" w:hAnsiTheme="minorEastAsia" w:eastAsiaTheme="minorEastAsia" w:cstheme="minorEastAsia"/>
                <w:color w:val="auto"/>
                <w:kern w:val="0"/>
                <w:sz w:val="24"/>
                <w:szCs w:val="24"/>
                <w:lang w:val="zh-CN" w:eastAsia="zh-CN" w:bidi="ar"/>
              </w:rPr>
              <w:t>制定了《</w:t>
            </w:r>
            <w:r>
              <w:rPr>
                <w:rFonts w:hint="eastAsia" w:asciiTheme="minorEastAsia" w:hAnsiTheme="minorEastAsia" w:eastAsiaTheme="minorEastAsia" w:cstheme="minorEastAsia"/>
                <w:color w:val="auto"/>
                <w:kern w:val="0"/>
                <w:sz w:val="24"/>
                <w:szCs w:val="24"/>
                <w:lang w:val="en-US" w:eastAsia="zh-CN" w:bidi="ar"/>
              </w:rPr>
              <w:t>放射安全防护</w:t>
            </w:r>
            <w:r>
              <w:rPr>
                <w:rFonts w:hint="eastAsia" w:asciiTheme="minorEastAsia" w:hAnsiTheme="minorEastAsia" w:eastAsiaTheme="minorEastAsia" w:cstheme="minorEastAsia"/>
                <w:color w:val="auto"/>
                <w:kern w:val="0"/>
                <w:sz w:val="24"/>
                <w:szCs w:val="24"/>
                <w:lang w:val="zh-CN" w:eastAsia="zh-CN" w:bidi="ar"/>
              </w:rPr>
              <w:t>管理制度》、《</w:t>
            </w:r>
            <w:r>
              <w:rPr>
                <w:rFonts w:hint="eastAsia" w:asciiTheme="minorEastAsia" w:hAnsiTheme="minorEastAsia" w:eastAsiaTheme="minorEastAsia" w:cstheme="minorEastAsia"/>
                <w:color w:val="auto"/>
                <w:kern w:val="0"/>
                <w:sz w:val="24"/>
                <w:szCs w:val="24"/>
                <w:lang w:val="en-US" w:eastAsia="zh-CN" w:bidi="ar"/>
              </w:rPr>
              <w:t>放射防护制度》、《放射工作</w:t>
            </w:r>
            <w:r>
              <w:rPr>
                <w:rFonts w:hint="eastAsia" w:asciiTheme="minorEastAsia" w:hAnsiTheme="minorEastAsia" w:eastAsiaTheme="minorEastAsia" w:cstheme="minorEastAsia"/>
                <w:color w:val="auto"/>
                <w:kern w:val="0"/>
                <w:sz w:val="24"/>
                <w:szCs w:val="24"/>
                <w:lang w:val="zh-CN" w:eastAsia="zh-CN" w:bidi="ar"/>
              </w:rPr>
              <w:t>场所监测制度》、《</w:t>
            </w:r>
            <w:r>
              <w:rPr>
                <w:rFonts w:hint="eastAsia" w:asciiTheme="minorEastAsia" w:hAnsiTheme="minorEastAsia" w:eastAsiaTheme="minorEastAsia" w:cstheme="minorEastAsia"/>
                <w:color w:val="auto"/>
                <w:kern w:val="0"/>
                <w:sz w:val="24"/>
                <w:szCs w:val="24"/>
                <w:lang w:val="en-US" w:eastAsia="zh-CN" w:bidi="ar"/>
              </w:rPr>
              <w:t>DSA操作规程》、</w:t>
            </w:r>
            <w:r>
              <w:rPr>
                <w:rFonts w:hint="eastAsia" w:asciiTheme="minorEastAsia" w:hAnsiTheme="minorEastAsia" w:eastAsiaTheme="minorEastAsia" w:cstheme="minorEastAsia"/>
                <w:color w:val="auto"/>
                <w:kern w:val="0"/>
                <w:sz w:val="24"/>
                <w:szCs w:val="24"/>
                <w:lang w:val="zh-CN" w:eastAsia="zh-CN" w:bidi="ar"/>
              </w:rPr>
              <w:t>《放射工作人员培训计划》、《</w:t>
            </w:r>
            <w:r>
              <w:rPr>
                <w:rFonts w:hint="eastAsia" w:asciiTheme="minorEastAsia" w:hAnsiTheme="minorEastAsia" w:eastAsiaTheme="minorEastAsia" w:cstheme="minorEastAsia"/>
                <w:color w:val="auto"/>
                <w:kern w:val="0"/>
                <w:sz w:val="24"/>
                <w:szCs w:val="24"/>
                <w:lang w:val="en-US" w:eastAsia="zh-CN" w:bidi="ar"/>
              </w:rPr>
              <w:t>放射工作人员职业健康监护和管理制度</w:t>
            </w:r>
            <w:r>
              <w:rPr>
                <w:rFonts w:hint="eastAsia" w:asciiTheme="minorEastAsia" w:hAnsiTheme="minorEastAsia" w:eastAsiaTheme="minorEastAsia" w:cstheme="minorEastAsia"/>
                <w:color w:val="auto"/>
                <w:kern w:val="0"/>
                <w:sz w:val="24"/>
                <w:szCs w:val="24"/>
                <w:lang w:val="zh-CN" w:eastAsia="zh-CN" w:bidi="ar"/>
              </w:rPr>
              <w:t>》、《</w:t>
            </w:r>
            <w:r>
              <w:rPr>
                <w:rFonts w:hint="eastAsia" w:asciiTheme="minorEastAsia" w:hAnsiTheme="minorEastAsia" w:eastAsiaTheme="minorEastAsia" w:cstheme="minorEastAsia"/>
                <w:color w:val="auto"/>
                <w:kern w:val="0"/>
                <w:sz w:val="24"/>
                <w:szCs w:val="24"/>
                <w:lang w:val="en-US" w:eastAsia="zh-CN" w:bidi="ar"/>
              </w:rPr>
              <w:t>受检者告知</w:t>
            </w:r>
            <w:r>
              <w:rPr>
                <w:rFonts w:hint="eastAsia" w:asciiTheme="minorEastAsia" w:hAnsiTheme="minorEastAsia" w:eastAsiaTheme="minorEastAsia" w:cstheme="minorEastAsia"/>
                <w:color w:val="auto"/>
                <w:kern w:val="0"/>
                <w:sz w:val="24"/>
                <w:szCs w:val="24"/>
                <w:lang w:val="zh-CN" w:eastAsia="zh-CN" w:bidi="ar"/>
              </w:rPr>
              <w:t>制度》、《辐射安全事故应急预案》。并且按照环评要求制定了</w:t>
            </w:r>
            <w:r>
              <w:rPr>
                <w:rFonts w:hint="eastAsia" w:asciiTheme="minorEastAsia" w:hAnsiTheme="minorEastAsia" w:eastAsiaTheme="minorEastAsia" w:cstheme="minorEastAsia"/>
                <w:color w:val="auto"/>
                <w:kern w:val="0"/>
                <w:sz w:val="24"/>
                <w:szCs w:val="24"/>
                <w:lang w:val="en-US" w:eastAsia="zh-CN" w:bidi="ar"/>
              </w:rPr>
              <w:t>《放射诊断质量保证大纲》、《辐射状况年度评估报告制度》。</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根据现场调查，其中各岗位职责和操作规程均上墙明示，落到实处。各规章制度详情见附件18。</w:t>
            </w:r>
          </w:p>
          <w:p>
            <w:pPr>
              <w:keepNext w:val="0"/>
              <w:keepLines w:val="0"/>
              <w:widowControl/>
              <w:suppressLineNumbers w:val="0"/>
              <w:spacing w:line="360" w:lineRule="auto"/>
              <w:jc w:val="left"/>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二、法规执行情况</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1、辐射安全许可证</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南京鼓楼医院集团安庆市石化医院于2021年9月8日向安徽省生态环境厅申请重新核发了辐射安全许可证，证书编号为皖环辐证[02016]。</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使用种类和范围为：使用Ⅱ、Ⅲ类射线装置；</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发证机关：安徽省生态环境厅；</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发证日期：2021年9月8日；</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有效期：至2024年12月11日。</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2、环境影响评价</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南京鼓楼医院集团安庆市石化医院委托</w:t>
            </w:r>
            <w:r>
              <w:rPr>
                <w:rFonts w:hint="eastAsia" w:asciiTheme="minorEastAsia" w:hAnsiTheme="minorEastAsia" w:eastAsiaTheme="minorEastAsia" w:cstheme="minorEastAsia"/>
                <w:color w:val="auto"/>
                <w:kern w:val="0"/>
                <w:sz w:val="24"/>
                <w:szCs w:val="24"/>
                <w:lang w:val="zh-CN" w:eastAsia="zh-CN" w:bidi="ar"/>
              </w:rPr>
              <w:t>安徽三的环境科技有限公司承担该项目的环境影响</w:t>
            </w:r>
            <w:r>
              <w:rPr>
                <w:rFonts w:hint="eastAsia" w:asciiTheme="minorEastAsia" w:hAnsiTheme="minorEastAsia" w:eastAsiaTheme="minorEastAsia" w:cstheme="minorEastAsia"/>
                <w:color w:val="auto"/>
                <w:kern w:val="0"/>
                <w:sz w:val="24"/>
                <w:szCs w:val="24"/>
                <w:lang w:val="en-US" w:eastAsia="zh-CN" w:bidi="ar"/>
              </w:rPr>
              <w:t>评价</w:t>
            </w:r>
            <w:r>
              <w:rPr>
                <w:rFonts w:hint="eastAsia" w:asciiTheme="minorEastAsia" w:hAnsiTheme="minorEastAsia" w:eastAsiaTheme="minorEastAsia" w:cstheme="minorEastAsia"/>
                <w:color w:val="auto"/>
                <w:kern w:val="0"/>
                <w:sz w:val="24"/>
                <w:szCs w:val="24"/>
                <w:lang w:val="zh-CN" w:eastAsia="zh-CN" w:bidi="ar"/>
              </w:rPr>
              <w:t>报告表的编制工作。</w:t>
            </w:r>
            <w:r>
              <w:rPr>
                <w:rFonts w:hint="eastAsia" w:asciiTheme="minorEastAsia" w:hAnsiTheme="minorEastAsia" w:eastAsiaTheme="minorEastAsia" w:cstheme="minorEastAsia"/>
                <w:color w:val="auto"/>
                <w:kern w:val="0"/>
                <w:sz w:val="24"/>
                <w:szCs w:val="24"/>
                <w:lang w:val="en-US" w:eastAsia="zh-CN" w:bidi="ar"/>
              </w:rPr>
              <w:t>并于2021年5月28日取得安庆市生态环境局签发的《安庆市生态环境局关于安庆市石化医院DSA项目环境影响报告表审查意见的函》（宜环建函[2021] 18 号），见附件3。</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3、制度上墙</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DSA机房操作间内张贴相关岗位职责和操作规程等工作制度。</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4、辐射安全防护设施与辐射监测落实情况</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工作场所建筑物屏蔽：机房已建成能有效地屏蔽射线的墙体。墙壁、顶棚、地板、防护门、窗的材料及厚度满足周围环境目标公众受照年有效剂量低于公众照射剂量约束值，同时满足辐射防护最优化的要求。</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辐射监测设备：所有辐射工作人员均配备了个人剂量计，介入手术工作人员配备绿色和橙色个人剂量计各1枚（绿色个人剂量计佩带于左胸前，橙色个人剂量计佩带于铅橡胶围脖上），用于个人剂量监测。医院已配备</w:t>
            </w:r>
            <w:r>
              <w:rPr>
                <w:rFonts w:hint="eastAsia" w:asciiTheme="minorEastAsia" w:hAnsiTheme="minorEastAsia" w:eastAsiaTheme="minorEastAsia" w:cstheme="minorEastAsia"/>
                <w:color w:val="auto"/>
                <w:sz w:val="24"/>
                <w:szCs w:val="24"/>
                <w:lang w:val="en-US" w:eastAsia="zh-CN"/>
              </w:rPr>
              <w:t>辐射巡检仪1台，定期对DSA机房进行辐射检测。</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（3）该院开展了个人剂量检测，并做好个人剂量档案管理工作（个人剂量检测报告见附件16）。医院每年委托具有相应资质能力的单位对辐射工作场所及周边环境开展年度检测。</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5、年度安全状况评估</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医院于2022年1月28日前将2021年度评估报告上传至全国核技术利用辐射安全申报系统，见附件20。</w:t>
            </w:r>
          </w:p>
          <w:p>
            <w:pPr>
              <w:keepNext w:val="0"/>
              <w:keepLines w:val="0"/>
              <w:widowControl/>
              <w:suppressLineNumbers w:val="0"/>
              <w:spacing w:line="360" w:lineRule="auto"/>
              <w:jc w:val="left"/>
              <w:rPr>
                <w:rFonts w:hint="eastAsia" w:cs="Times New Roman"/>
                <w:b/>
                <w:bCs/>
                <w:color w:val="auto"/>
                <w:kern w:val="0"/>
                <w:sz w:val="21"/>
                <w:szCs w:val="21"/>
                <w:lang w:val="en-US" w:eastAsia="zh-CN" w:bidi="ar"/>
              </w:rPr>
            </w:pPr>
            <w:r>
              <w:rPr>
                <w:rFonts w:hint="eastAsia" w:cs="Times New Roman"/>
                <w:b/>
                <w:bCs/>
                <w:color w:val="auto"/>
                <w:kern w:val="0"/>
                <w:sz w:val="21"/>
                <w:szCs w:val="21"/>
                <w:lang w:val="en-US" w:eastAsia="zh-CN" w:bidi="ar"/>
              </w:rPr>
              <w:t>三</w:t>
            </w:r>
            <w:r>
              <w:rPr>
                <w:rFonts w:hint="default" w:ascii="Times New Roman" w:hAnsi="Times New Roman" w:eastAsia="宋体" w:cs="Times New Roman"/>
                <w:b/>
                <w:bCs/>
                <w:color w:val="auto"/>
                <w:kern w:val="0"/>
                <w:sz w:val="21"/>
                <w:szCs w:val="21"/>
                <w:lang w:val="en-US" w:eastAsia="zh-CN" w:bidi="ar"/>
              </w:rPr>
              <w:t>、</w:t>
            </w:r>
            <w:r>
              <w:rPr>
                <w:rFonts w:hint="eastAsia" w:ascii="Times New Roman" w:hAnsi="Times New Roman" w:cs="Times New Roman"/>
                <w:b/>
                <w:bCs/>
                <w:color w:val="auto"/>
                <w:kern w:val="0"/>
                <w:sz w:val="21"/>
                <w:szCs w:val="21"/>
                <w:lang w:val="en-US" w:eastAsia="zh-CN" w:bidi="ar"/>
              </w:rPr>
              <w:t>辐射工作</w:t>
            </w:r>
            <w:r>
              <w:rPr>
                <w:rFonts w:hint="default" w:ascii="Times New Roman" w:hAnsi="Times New Roman" w:eastAsia="宋体" w:cs="Times New Roman"/>
                <w:b/>
                <w:bCs/>
                <w:color w:val="auto"/>
                <w:kern w:val="0"/>
                <w:sz w:val="21"/>
                <w:szCs w:val="21"/>
                <w:lang w:val="en-US" w:eastAsia="zh-CN" w:bidi="ar"/>
              </w:rPr>
              <w:t>人员管理</w:t>
            </w:r>
            <w:r>
              <w:rPr>
                <w:rFonts w:hint="eastAsia" w:cs="Times New Roman"/>
                <w:b/>
                <w:bCs/>
                <w:color w:val="auto"/>
                <w:kern w:val="0"/>
                <w:sz w:val="21"/>
                <w:szCs w:val="21"/>
                <w:lang w:val="en-US" w:eastAsia="zh-CN" w:bidi="ar"/>
              </w:rPr>
              <w:t>情况</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本项目辐射工作人员共10人（见附件14：DSA机房辐射工作人员清单），医院已对所有的辐射工作人员均建立个人剂量监测档案和职业健康监护档案。</w:t>
            </w:r>
          </w:p>
          <w:p>
            <w:pPr>
              <w:keepNext w:val="0"/>
              <w:keepLines w:val="0"/>
              <w:widowControl/>
              <w:suppressLineNumbers w:val="0"/>
              <w:spacing w:line="360" w:lineRule="auto"/>
              <w:ind w:firstLine="420" w:firstLineChars="200"/>
              <w:jc w:val="left"/>
              <w:rPr>
                <w:rFonts w:hint="eastAsia" w:ascii="Times New Roman" w:hAnsi="Times New Roman"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1、</w:t>
            </w:r>
            <w:r>
              <w:rPr>
                <w:rFonts w:hint="eastAsia" w:ascii="Times New Roman" w:hAnsi="Times New Roman" w:cs="Times New Roman"/>
                <w:b/>
                <w:bCs/>
                <w:color w:val="auto"/>
                <w:kern w:val="0"/>
                <w:sz w:val="21"/>
                <w:szCs w:val="21"/>
                <w:lang w:val="en-US" w:eastAsia="zh-CN" w:bidi="ar"/>
              </w:rPr>
              <w:t>辐射</w:t>
            </w:r>
            <w:r>
              <w:rPr>
                <w:rFonts w:hint="default" w:ascii="Times New Roman" w:hAnsi="Times New Roman" w:eastAsia="宋体" w:cs="Times New Roman"/>
                <w:b/>
                <w:bCs/>
                <w:color w:val="auto"/>
                <w:kern w:val="0"/>
                <w:sz w:val="21"/>
                <w:szCs w:val="21"/>
                <w:lang w:val="en-US" w:eastAsia="zh-CN" w:bidi="ar"/>
              </w:rPr>
              <w:t>工作人员的</w:t>
            </w:r>
            <w:r>
              <w:rPr>
                <w:rFonts w:hint="eastAsia" w:ascii="Times New Roman" w:hAnsi="Times New Roman" w:cs="Times New Roman"/>
                <w:b/>
                <w:bCs/>
                <w:color w:val="auto"/>
                <w:kern w:val="0"/>
                <w:sz w:val="21"/>
                <w:szCs w:val="21"/>
                <w:lang w:val="en-US" w:eastAsia="zh-CN" w:bidi="ar"/>
              </w:rPr>
              <w:t>考核情况</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本项目配备10名辐射工作人员，已全部参加辐射安全与防护培训且考核通过。本项目辐射工作人员考核情况统计见表8-2（DSA工作人员辐射安全培训合格证书见附件15）。</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2、个人剂量检测</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sz w:val="24"/>
                <w:szCs w:val="24"/>
                <w:lang w:val="en-US" w:eastAsia="zh-CN"/>
              </w:rPr>
              <w:t>南京鼓楼医院集团安庆市石化医院</w:t>
            </w:r>
            <w:r>
              <w:rPr>
                <w:rFonts w:hint="eastAsia" w:asciiTheme="minorEastAsia" w:hAnsiTheme="minorEastAsia" w:eastAsiaTheme="minorEastAsia" w:cstheme="minorEastAsia"/>
                <w:color w:val="auto"/>
                <w:kern w:val="0"/>
                <w:sz w:val="24"/>
                <w:szCs w:val="24"/>
                <w:lang w:val="en-US" w:eastAsia="zh-CN" w:bidi="ar"/>
              </w:rPr>
              <w:t>委托安徽达申卫生检测技术有限公司对从事DSA机房的工作人员进行个人剂量的监测。从检测结果看，本项目辐射工作人员年有效剂量符合管理要求（个人剂量监测报告见附件16）。</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3、职业健康检查</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该医院于2021年3月组织DSA机房辐射工作人员参加了在岗期间/上岗前的职业健康体检，结果为可继续从事放射工作。</w:t>
            </w:r>
          </w:p>
          <w:p>
            <w:pPr>
              <w:keepNext w:val="0"/>
              <w:keepLines w:val="0"/>
              <w:widowControl/>
              <w:suppressLineNumbers w:val="0"/>
              <w:spacing w:line="36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w:t>
            </w:r>
            <w:r>
              <w:rPr>
                <w:rFonts w:hint="eastAsia" w:cs="Times New Roman"/>
                <w:b/>
                <w:bCs/>
                <w:color w:val="auto"/>
                <w:kern w:val="0"/>
                <w:sz w:val="21"/>
                <w:szCs w:val="21"/>
                <w:lang w:val="en-US" w:eastAsia="zh-CN" w:bidi="ar"/>
              </w:rPr>
              <w:t>8</w:t>
            </w:r>
            <w:r>
              <w:rPr>
                <w:rFonts w:hint="default"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1</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本项目辐射工作人员相关信息</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857"/>
              <w:gridCol w:w="686"/>
              <w:gridCol w:w="2025"/>
              <w:gridCol w:w="1467"/>
              <w:gridCol w:w="1640"/>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36" w:type="dxa"/>
                  <w:vMerge w:val="restart"/>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序号</w:t>
                  </w:r>
                </w:p>
              </w:tc>
              <w:tc>
                <w:tcPr>
                  <w:tcW w:w="857" w:type="dxa"/>
                  <w:vMerge w:val="restart"/>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姓名</w:t>
                  </w:r>
                </w:p>
              </w:tc>
              <w:tc>
                <w:tcPr>
                  <w:tcW w:w="686" w:type="dxa"/>
                  <w:vMerge w:val="restart"/>
                  <w:vAlign w:val="center"/>
                </w:tcPr>
                <w:p>
                  <w:pPr>
                    <w:widowControl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辐射工作类别</w:t>
                  </w:r>
                </w:p>
              </w:tc>
              <w:tc>
                <w:tcPr>
                  <w:tcW w:w="2025" w:type="dxa"/>
                  <w:vMerge w:val="restart"/>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辐射安全培训证书编号</w:t>
                  </w:r>
                </w:p>
              </w:tc>
              <w:tc>
                <w:tcPr>
                  <w:tcW w:w="3107" w:type="dxa"/>
                  <w:gridSpan w:val="2"/>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职业健康体检</w:t>
                  </w:r>
                </w:p>
              </w:tc>
              <w:tc>
                <w:tcPr>
                  <w:tcW w:w="1632" w:type="dxa"/>
                  <w:vMerge w:val="restart"/>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个人剂量监测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436" w:type="dxa"/>
                  <w:vMerge w:val="continue"/>
                  <w:vAlign w:val="center"/>
                </w:tcPr>
                <w:p>
                  <w:pPr>
                    <w:widowControl w:val="0"/>
                    <w:jc w:val="center"/>
                    <w:rPr>
                      <w:rFonts w:hint="default" w:ascii="Times New Roman" w:hAnsi="Times New Roman" w:eastAsia="宋体" w:cs="Times New Roman"/>
                      <w:color w:val="auto"/>
                    </w:rPr>
                  </w:pPr>
                </w:p>
              </w:tc>
              <w:tc>
                <w:tcPr>
                  <w:tcW w:w="857" w:type="dxa"/>
                  <w:vMerge w:val="continue"/>
                  <w:vAlign w:val="center"/>
                </w:tcPr>
                <w:p>
                  <w:pPr>
                    <w:widowControl w:val="0"/>
                    <w:jc w:val="center"/>
                    <w:rPr>
                      <w:rFonts w:hint="default" w:ascii="Times New Roman" w:hAnsi="Times New Roman" w:eastAsia="宋体" w:cs="Times New Roman"/>
                      <w:color w:val="auto"/>
                    </w:rPr>
                  </w:pPr>
                </w:p>
              </w:tc>
              <w:tc>
                <w:tcPr>
                  <w:tcW w:w="686" w:type="dxa"/>
                  <w:vMerge w:val="continue"/>
                  <w:vAlign w:val="center"/>
                </w:tcPr>
                <w:p>
                  <w:pPr>
                    <w:widowControl w:val="0"/>
                    <w:jc w:val="center"/>
                    <w:rPr>
                      <w:rFonts w:hint="default" w:ascii="Times New Roman" w:hAnsi="Times New Roman" w:eastAsia="宋体" w:cs="Times New Roman"/>
                      <w:color w:val="auto"/>
                    </w:rPr>
                  </w:pPr>
                </w:p>
              </w:tc>
              <w:tc>
                <w:tcPr>
                  <w:tcW w:w="2025" w:type="dxa"/>
                  <w:vMerge w:val="continue"/>
                  <w:vAlign w:val="center"/>
                </w:tcPr>
                <w:p>
                  <w:pPr>
                    <w:widowControl w:val="0"/>
                    <w:jc w:val="center"/>
                    <w:rPr>
                      <w:rFonts w:hint="default" w:ascii="Times New Roman" w:hAnsi="Times New Roman" w:eastAsia="宋体" w:cs="Times New Roman"/>
                      <w:color w:val="auto"/>
                    </w:rPr>
                  </w:pP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体检日期</w:t>
                  </w:r>
                </w:p>
              </w:tc>
              <w:tc>
                <w:tcPr>
                  <w:tcW w:w="1640"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体检结果</w:t>
                  </w:r>
                </w:p>
              </w:tc>
              <w:tc>
                <w:tcPr>
                  <w:tcW w:w="1632" w:type="dxa"/>
                  <w:vMerge w:val="continue"/>
                  <w:vAlign w:val="center"/>
                </w:tcPr>
                <w:p>
                  <w:pPr>
                    <w:widowControl w:val="0"/>
                    <w:jc w:val="center"/>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汪念东</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皖环辐培B1929007</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2021.4.2</w:t>
                  </w:r>
                </w:p>
              </w:tc>
              <w:tc>
                <w:tcPr>
                  <w:tcW w:w="1640" w:type="dxa"/>
                  <w:vMerge w:val="restart"/>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可继续从事放射工作</w:t>
                  </w: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农彦林</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皖环辐培B1929008</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2021.3.28</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焦红</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F</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皖环辐培B1929009</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2021.3.18</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程微</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F</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皖环辐培B1929006</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2021.3.18</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徐先进</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皖环辐培B1929005</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2021.4.2</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王书健</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FS21AH0101663</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2021.3.23</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杨龙林</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w:t>
                  </w:r>
                  <w:r>
                    <w:rPr>
                      <w:rFonts w:hint="eastAsia"/>
                      <w:color w:val="auto"/>
                      <w:lang w:val="en-US" w:eastAsia="zh-CN"/>
                    </w:rPr>
                    <w:t>E</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FS21AH0101662</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2021.3.22</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程锐锐</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2A</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FS21AH0101689</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2021.3.19</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钱俊</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2A</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FS21AH0101646</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2021.3.18</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85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
                    </w:rPr>
                    <w:t>王辉</w:t>
                  </w:r>
                </w:p>
              </w:tc>
              <w:tc>
                <w:tcPr>
                  <w:tcW w:w="686" w:type="dxa"/>
                  <w:vAlign w:val="center"/>
                </w:tcPr>
                <w:p>
                  <w:pPr>
                    <w:widowControl w:val="0"/>
                    <w:jc w:val="center"/>
                    <w:rPr>
                      <w:rFonts w:hint="default" w:ascii="Times New Roman" w:hAnsi="Times New Roman" w:eastAsia="宋体" w:cs="Times New Roman"/>
                      <w:color w:val="auto"/>
                      <w:lang w:val="en-US" w:eastAsia="zh-CN"/>
                    </w:rPr>
                  </w:pPr>
                  <w:r>
                    <w:rPr>
                      <w:rFonts w:hint="default"/>
                      <w:color w:val="auto"/>
                      <w:lang w:val="en-US" w:eastAsia="zh-CN"/>
                    </w:rPr>
                    <w:t>2A</w:t>
                  </w:r>
                </w:p>
              </w:tc>
              <w:tc>
                <w:tcPr>
                  <w:tcW w:w="2025"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FS21AH0101645</w:t>
                  </w:r>
                </w:p>
              </w:tc>
              <w:tc>
                <w:tcPr>
                  <w:tcW w:w="1467"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2021.3.19</w:t>
                  </w:r>
                </w:p>
              </w:tc>
              <w:tc>
                <w:tcPr>
                  <w:tcW w:w="1640" w:type="dxa"/>
                  <w:vMerge w:val="continue"/>
                  <w:vAlign w:val="center"/>
                </w:tcPr>
                <w:p>
                  <w:pPr>
                    <w:widowControl w:val="0"/>
                    <w:jc w:val="center"/>
                    <w:rPr>
                      <w:rFonts w:hint="default" w:ascii="Times New Roman" w:hAnsi="Times New Roman" w:eastAsia="宋体" w:cs="Times New Roman"/>
                      <w:color w:val="auto"/>
                      <w:lang w:val="en-US" w:eastAsia="zh-CN"/>
                    </w:rPr>
                  </w:pPr>
                </w:p>
              </w:tc>
              <w:tc>
                <w:tcPr>
                  <w:tcW w:w="1632" w:type="dxa"/>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0.21</w:t>
                  </w:r>
                </w:p>
              </w:tc>
            </w:tr>
          </w:tbl>
          <w:p>
            <w:pPr>
              <w:pStyle w:val="14"/>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kern w:val="0"/>
                <w:sz w:val="24"/>
                <w:szCs w:val="24"/>
                <w:lang w:val="en-US" w:eastAsia="zh-CN" w:bidi="ar"/>
              </w:rPr>
              <w:t>四</w:t>
            </w:r>
            <w:r>
              <w:rPr>
                <w:rFonts w:hint="default" w:ascii="Times New Roman" w:hAnsi="Times New Roman" w:eastAsia="宋体" w:cs="Times New Roman"/>
                <w:b/>
                <w:bCs/>
                <w:color w:val="auto"/>
                <w:kern w:val="0"/>
                <w:sz w:val="24"/>
                <w:szCs w:val="24"/>
                <w:lang w:val="en-US" w:eastAsia="zh-CN" w:bidi="ar"/>
              </w:rPr>
              <w:t>、“三同时”执行情况</w:t>
            </w:r>
          </w:p>
          <w:p>
            <w:pPr>
              <w:keepNext w:val="0"/>
              <w:keepLines w:val="0"/>
              <w:widowControl/>
              <w:suppressLineNumbers w:val="0"/>
              <w:spacing w:line="360" w:lineRule="auto"/>
              <w:ind w:firstLine="420" w:firstLineChars="200"/>
              <w:jc w:val="left"/>
              <w:rPr>
                <w:rFonts w:hint="eastAsia" w:asciiTheme="minorEastAsia" w:hAnsiTheme="minorEastAsia" w:eastAsiaTheme="minorEastAsia" w:cstheme="minorEastAsia"/>
                <w:color w:val="auto"/>
                <w:kern w:val="0"/>
                <w:sz w:val="24"/>
                <w:szCs w:val="24"/>
                <w:lang w:val="en-US" w:eastAsia="zh-CN" w:bidi="ar"/>
              </w:rPr>
            </w:pPr>
            <w:r>
              <w:rPr>
                <w:rFonts w:hint="default" w:ascii="Times New Roman" w:hAnsi="Times New Roman" w:eastAsia="宋体" w:cs="Times New Roman"/>
                <w:color w:val="auto"/>
                <w:kern w:val="0"/>
                <w:sz w:val="21"/>
                <w:szCs w:val="21"/>
                <w:lang w:val="en-US" w:eastAsia="zh-CN" w:bidi="ar"/>
              </w:rPr>
              <w:t>根</w:t>
            </w:r>
            <w:r>
              <w:rPr>
                <w:rFonts w:hint="eastAsia" w:asciiTheme="minorEastAsia" w:hAnsiTheme="minorEastAsia" w:eastAsiaTheme="minorEastAsia" w:cstheme="minorEastAsia"/>
                <w:color w:val="auto"/>
                <w:kern w:val="0"/>
                <w:sz w:val="24"/>
                <w:szCs w:val="24"/>
                <w:lang w:val="en-US" w:eastAsia="zh-CN" w:bidi="ar"/>
              </w:rPr>
              <w:t>据《安庆市石化医院DSA项目环境影响报告表》中关于DSA项目的辐射污染防治“三同时”的要求，落实情况如表8-2。</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w:t>
            </w:r>
            <w:r>
              <w:rPr>
                <w:rFonts w:hint="eastAsia" w:cs="Times New Roman"/>
                <w:b/>
                <w:bCs/>
                <w:color w:val="auto"/>
                <w:kern w:val="0"/>
                <w:sz w:val="21"/>
                <w:szCs w:val="21"/>
                <w:lang w:val="en-US" w:eastAsia="zh-CN" w:bidi="ar"/>
              </w:rPr>
              <w:t>8</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2</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“三同时”验收一览表</w:t>
            </w:r>
          </w:p>
          <w:tbl>
            <w:tblPr>
              <w:tblStyle w:val="39"/>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43"/>
              <w:gridCol w:w="3514"/>
              <w:gridCol w:w="3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w:t>
                  </w:r>
                </w:p>
              </w:tc>
              <w:tc>
                <w:tcPr>
                  <w:tcW w:w="4757" w:type="dxa"/>
                  <w:gridSpan w:val="2"/>
                  <w:vAlign w:val="center"/>
                </w:tcPr>
                <w:p>
                  <w:pPr>
                    <w:keepNext w:val="0"/>
                    <w:keepLines w:val="0"/>
                    <w:widowControl/>
                    <w:suppressLineNumbers w:val="0"/>
                    <w:spacing w:line="360" w:lineRule="auto"/>
                    <w:ind w:firstLine="420" w:firstLineChars="20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“三同时”验收内容及要求</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restart"/>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防护措施</w:t>
                  </w:r>
                </w:p>
              </w:tc>
              <w:tc>
                <w:tcPr>
                  <w:tcW w:w="1243" w:type="dxa"/>
                  <w:vAlign w:val="center"/>
                </w:tcPr>
                <w:p>
                  <w:pPr>
                    <w:keepNext w:val="0"/>
                    <w:keepLines w:val="0"/>
                    <w:widowControl/>
                    <w:suppressLineNumbers w:val="0"/>
                    <w:spacing w:line="240" w:lineRule="auto"/>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X射线机扫描间防护</w:t>
                  </w:r>
                </w:p>
              </w:tc>
              <w:tc>
                <w:tcPr>
                  <w:tcW w:w="3514" w:type="dxa"/>
                  <w:vAlign w:val="center"/>
                </w:tcPr>
                <w:p>
                  <w:pPr>
                    <w:keepNext w:val="0"/>
                    <w:keepLines w:val="0"/>
                    <w:widowControl/>
                    <w:suppressLineNumbers w:val="0"/>
                    <w:spacing w:line="240" w:lineRule="auto"/>
                    <w:ind w:firstLine="420" w:firstLineChars="20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四面墙体为240mm厚实心红砖墙+2mmPb硫酸钡水泥；顶板200mm厚混凝土+2mmPb硫酸钡水泥；地板面贴有瓷砖；防护铅门共3扇，4.0mm铅板+锈钢板覆面（锈钢板2.5mm）；观察窗4mmPb铅玻璃观察窗</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已按环评要求做好X射线机扫描间防护：四面墙体为240mm厚实心红砖墙+2mmPb硫酸钡水泥；顶板200mm厚混凝土+2mmPb硫酸钡水泥；地板面贴有瓷砖；防护铅门共3扇，4.0mm铅板+锈钢板覆面（锈钢板2.5mm）；观察窗4mmPb铅玻璃观察窗。</w:t>
                  </w:r>
                  <w:r>
                    <w:rPr>
                      <w:rFonts w:hint="eastAsia" w:ascii="宋体" w:hAnsi="宋体" w:eastAsia="宋体" w:cs="宋体"/>
                      <w:color w:val="auto"/>
                      <w:sz w:val="21"/>
                      <w:szCs w:val="21"/>
                      <w:lang w:val="en-US" w:eastAsia="zh-CN"/>
                    </w:rPr>
                    <w:t>根据检测结果显示</w:t>
                  </w:r>
                  <w:r>
                    <w:rPr>
                      <w:rFonts w:hint="eastAsia" w:ascii="宋体" w:hAnsi="宋体" w:eastAsia="宋体" w:cs="宋体"/>
                      <w:color w:val="auto"/>
                      <w:sz w:val="21"/>
                      <w:szCs w:val="21"/>
                    </w:rPr>
                    <w:t>瞬时剂量率不超过2.5μSv/h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警示灯</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在机房门口设置警示灯</w:t>
                  </w:r>
                </w:p>
              </w:tc>
              <w:tc>
                <w:tcPr>
                  <w:tcW w:w="3411" w:type="dxa"/>
                  <w:vMerge w:val="restart"/>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已设置安装警示灯、门灯联动装置、</w:t>
                  </w:r>
                  <w:r>
                    <w:rPr>
                      <w:rFonts w:hint="eastAsia" w:ascii="宋体" w:hAnsi="宋体" w:eastAsia="宋体" w:cs="宋体"/>
                      <w:color w:val="auto"/>
                      <w:sz w:val="21"/>
                      <w:szCs w:val="21"/>
                    </w:rPr>
                    <w:t>防护门上</w:t>
                  </w: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设置规范的电离辐射警告标志</w:t>
                  </w:r>
                  <w:r>
                    <w:rPr>
                      <w:rFonts w:hint="eastAsia" w:ascii="宋体" w:hAnsi="宋体" w:eastAsia="宋体" w:cs="宋体"/>
                      <w:color w:val="auto"/>
                      <w:sz w:val="21"/>
                      <w:szCs w:val="21"/>
                      <w:lang w:eastAsia="zh-CN"/>
                    </w:rPr>
                    <w:t>，已按照环评要求配备防护用品，并且所有设施运行正常。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门灯联动</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在防护门处安装门灯联动装置</w:t>
                  </w:r>
                </w:p>
              </w:tc>
              <w:tc>
                <w:tcPr>
                  <w:tcW w:w="3411" w:type="dxa"/>
                  <w:vMerge w:val="continue"/>
                  <w:vAlign w:val="center"/>
                </w:tcPr>
                <w:p>
                  <w:pPr>
                    <w:widowControl w:val="0"/>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电离辐射警告标志</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在防护门上设置规范的电离辐射警告标志</w:t>
                  </w:r>
                </w:p>
              </w:tc>
              <w:tc>
                <w:tcPr>
                  <w:tcW w:w="3411" w:type="dxa"/>
                  <w:vMerge w:val="continue"/>
                  <w:vAlign w:val="center"/>
                </w:tcPr>
                <w:p>
                  <w:pPr>
                    <w:widowControl w:val="0"/>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防护用品</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按要求配备</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铅</w:t>
                  </w:r>
                  <w:r>
                    <w:rPr>
                      <w:rFonts w:hint="eastAsia" w:ascii="宋体" w:hAnsi="宋体" w:eastAsia="宋体" w:cs="宋体"/>
                      <w:color w:val="auto"/>
                      <w:sz w:val="21"/>
                      <w:szCs w:val="21"/>
                      <w:lang w:eastAsia="zh-CN"/>
                    </w:rPr>
                    <w:t>橡胶方巾</w:t>
                  </w:r>
                  <w:r>
                    <w:rPr>
                      <w:rFonts w:hint="eastAsia" w:ascii="宋体" w:hAnsi="宋体" w:eastAsia="宋体" w:cs="宋体"/>
                      <w:color w:val="auto"/>
                      <w:sz w:val="21"/>
                      <w:szCs w:val="21"/>
                    </w:rPr>
                    <w:t>、铅</w:t>
                  </w:r>
                  <w:r>
                    <w:rPr>
                      <w:rFonts w:hint="eastAsia" w:ascii="宋体" w:hAnsi="宋体" w:eastAsia="宋体" w:cs="宋体"/>
                      <w:color w:val="auto"/>
                      <w:sz w:val="21"/>
                      <w:szCs w:val="21"/>
                      <w:lang w:eastAsia="zh-CN"/>
                    </w:rPr>
                    <w:t>橡胶</w:t>
                  </w:r>
                  <w:r>
                    <w:rPr>
                      <w:rFonts w:hint="eastAsia" w:ascii="宋体" w:hAnsi="宋体" w:eastAsia="宋体" w:cs="宋体"/>
                      <w:color w:val="auto"/>
                      <w:sz w:val="21"/>
                      <w:szCs w:val="21"/>
                    </w:rPr>
                    <w:t>帽、铅</w:t>
                  </w:r>
                  <w:r>
                    <w:rPr>
                      <w:rFonts w:hint="eastAsia" w:ascii="宋体" w:hAnsi="宋体" w:eastAsia="宋体" w:cs="宋体"/>
                      <w:color w:val="auto"/>
                      <w:sz w:val="21"/>
                      <w:szCs w:val="21"/>
                      <w:lang w:eastAsia="zh-CN"/>
                    </w:rPr>
                    <w:t>橡胶</w:t>
                  </w:r>
                  <w:r>
                    <w:rPr>
                      <w:rFonts w:hint="eastAsia" w:ascii="宋体" w:hAnsi="宋体" w:eastAsia="宋体" w:cs="宋体"/>
                      <w:color w:val="auto"/>
                      <w:sz w:val="21"/>
                      <w:szCs w:val="21"/>
                    </w:rPr>
                    <w:t>围脖</w:t>
                  </w:r>
                  <w:r>
                    <w:rPr>
                      <w:rFonts w:hint="eastAsia" w:ascii="宋体" w:hAnsi="宋体" w:eastAsia="宋体" w:cs="宋体"/>
                      <w:color w:val="auto"/>
                      <w:sz w:val="21"/>
                      <w:szCs w:val="21"/>
                      <w:lang w:eastAsia="zh-CN"/>
                    </w:rPr>
                    <w:t>、铅防护眼镜</w:t>
                  </w:r>
                  <w:r>
                    <w:rPr>
                      <w:rFonts w:hint="eastAsia" w:ascii="宋体" w:hAnsi="宋体" w:eastAsia="宋体" w:cs="宋体"/>
                      <w:color w:val="auto"/>
                      <w:sz w:val="21"/>
                      <w:szCs w:val="21"/>
                    </w:rPr>
                    <w:t>等</w:t>
                  </w:r>
                  <w:r>
                    <w:rPr>
                      <w:rFonts w:hint="eastAsia" w:ascii="宋体" w:hAnsi="宋体" w:eastAsia="宋体" w:cs="宋体"/>
                      <w:color w:val="auto"/>
                      <w:sz w:val="21"/>
                      <w:szCs w:val="21"/>
                      <w:lang w:val="en-US" w:eastAsia="zh-CN"/>
                    </w:rPr>
                    <w:t>；新增的儿童防护用品1套</w:t>
                  </w:r>
                </w:p>
              </w:tc>
              <w:tc>
                <w:tcPr>
                  <w:tcW w:w="3411" w:type="dxa"/>
                  <w:vMerge w:val="continue"/>
                  <w:vAlign w:val="center"/>
                </w:tcPr>
                <w:p>
                  <w:pPr>
                    <w:widowControl w:val="0"/>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个人剂量计</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医院为所有辐射工作人员配备个人剂量计并正常开展监测；介入手术工作人员配置</w:t>
                  </w:r>
                  <w:r>
                    <w:rPr>
                      <w:rFonts w:hint="eastAsia" w:ascii="宋体" w:hAnsi="宋体" w:eastAsia="宋体" w:cs="宋体"/>
                      <w:color w:val="auto"/>
                      <w:sz w:val="21"/>
                      <w:szCs w:val="21"/>
                      <w:lang w:val="en-US" w:eastAsia="zh-CN"/>
                    </w:rPr>
                    <w:t>2枚个人剂量计</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检测结果显示，屏蔽体外30cm剂量率不超过2.5μSv/h；DSA介入手术医生年有效剂量不超过10mSv，其他辐射工作人员年有效剂量不超过5mSv，公众年有效剂量不超过0.25mSv。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restart"/>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管理制度</w:t>
                  </w: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辐射安全管理机构</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成立辐射安全领导小组并明确职责</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成立辐射安全领导小组并明确职责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辐射事故应急预案</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制定辐射事故应急预案</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制定辐射事故应急预案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辐射安全与防护培训</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全部辐射工作人员均需参加辐射安全和防护专业知识培训和考核</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全部辐射工作人员均</w:t>
                  </w: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参加辐射安全和防护专业知识培训和考核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职业健康体检管理</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全部辐射工作人员均需进行职业健康体检</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全部辐射工作人员均</w:t>
                  </w: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进行职业健康体检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监测制度</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制定《辐射环境监测计划》</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制定《辐射环境监测计划》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年度评估报告制度</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制定《辐射状况年度评估报告制度》</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制定《辐射状况年度评估报告制度》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vAlign w:val="center"/>
                </w:tcPr>
                <w:p>
                  <w:pPr>
                    <w:widowControl w:val="0"/>
                    <w:jc w:val="center"/>
                    <w:rPr>
                      <w:rFonts w:hint="eastAsia" w:ascii="宋体" w:hAnsi="宋体" w:eastAsia="宋体" w:cs="宋体"/>
                      <w:color w:val="auto"/>
                      <w:sz w:val="21"/>
                      <w:szCs w:val="21"/>
                      <w:lang w:val="en-US" w:eastAsia="zh-CN"/>
                    </w:rPr>
                  </w:pP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操作规程、岗位职责、检修维护制度</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制定完善的操作规程、岗位职责、检修维护制度等</w:t>
                  </w:r>
                  <w:r>
                    <w:rPr>
                      <w:rFonts w:hint="eastAsia" w:ascii="宋体" w:hAnsi="宋体" w:eastAsia="宋体" w:cs="宋体"/>
                      <w:color w:val="auto"/>
                      <w:sz w:val="21"/>
                      <w:szCs w:val="21"/>
                      <w:lang w:val="en-US" w:eastAsia="zh-CN"/>
                    </w:rPr>
                    <w:t>；制定《放射诊断质量保证大纲》</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制定完善的操作规程、岗位职责、检修维护制度等</w:t>
                  </w:r>
                  <w:r>
                    <w:rPr>
                      <w:rFonts w:hint="eastAsia" w:ascii="宋体" w:hAnsi="宋体" w:eastAsia="宋体" w:cs="宋体"/>
                      <w:color w:val="auto"/>
                      <w:sz w:val="21"/>
                      <w:szCs w:val="21"/>
                      <w:lang w:val="en-US" w:eastAsia="zh-CN"/>
                    </w:rPr>
                    <w:t>；已制定《放射诊断质量保证大纲》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废水</w:t>
                  </w: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依托医院现有污水处理站进行处理</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现有污水处理站运行正常，</w:t>
                  </w:r>
                  <w:r>
                    <w:rPr>
                      <w:rFonts w:hint="eastAsia" w:ascii="宋体" w:hAnsi="宋体" w:eastAsia="宋体" w:cs="宋体"/>
                      <w:color w:val="auto"/>
                      <w:sz w:val="21"/>
                      <w:szCs w:val="21"/>
                      <w:lang w:eastAsia="zh-CN"/>
                    </w:rPr>
                    <w:t>医疗废水经化粪池预处理后进入院内污水处理站处理后排入市政污水管网，污水排放</w:t>
                  </w:r>
                  <w:r>
                    <w:rPr>
                      <w:rFonts w:hint="eastAsia" w:ascii="宋体" w:hAnsi="宋体" w:eastAsia="宋体" w:cs="宋体"/>
                      <w:color w:val="auto"/>
                      <w:sz w:val="21"/>
                      <w:szCs w:val="21"/>
                      <w:lang w:val="en-US" w:eastAsia="zh-CN"/>
                    </w:rPr>
                    <w:t>能</w:t>
                  </w:r>
                  <w:r>
                    <w:rPr>
                      <w:rFonts w:hint="eastAsia" w:ascii="宋体" w:hAnsi="宋体" w:eastAsia="宋体" w:cs="宋体"/>
                      <w:color w:val="auto"/>
                      <w:sz w:val="21"/>
                      <w:szCs w:val="21"/>
                      <w:lang w:eastAsia="zh-CN"/>
                    </w:rPr>
                    <w:t>达到《医疗机构水污染物排放标准》（</w:t>
                  </w:r>
                  <w:r>
                    <w:rPr>
                      <w:rFonts w:hint="eastAsia" w:ascii="宋体" w:hAnsi="宋体" w:eastAsia="宋体" w:cs="宋体"/>
                      <w:color w:val="auto"/>
                      <w:sz w:val="21"/>
                      <w:szCs w:val="21"/>
                      <w:lang w:val="en-US" w:eastAsia="zh-CN"/>
                    </w:rPr>
                    <w:t>GB18466-2005）表1中的相关标准要求（氨氮能达到</w:t>
                  </w:r>
                  <w:r>
                    <w:rPr>
                      <w:rFonts w:hint="eastAsia" w:ascii="宋体" w:hAnsi="宋体" w:eastAsia="宋体" w:cs="宋体"/>
                      <w:color w:val="auto"/>
                      <w:sz w:val="21"/>
                      <w:szCs w:val="21"/>
                      <w:lang w:eastAsia="zh-CN"/>
                    </w:rPr>
                    <w:t>《污水排入城镇下水道水质标准》（GB/T31962-2015）</w:t>
                  </w:r>
                  <w:r>
                    <w:rPr>
                      <w:rFonts w:hint="eastAsia" w:ascii="宋体" w:hAnsi="宋体" w:eastAsia="宋体" w:cs="宋体"/>
                      <w:color w:val="auto"/>
                      <w:sz w:val="21"/>
                      <w:szCs w:val="21"/>
                      <w:lang w:val="en-US" w:eastAsia="zh-CN"/>
                    </w:rPr>
                    <w:t>表1中B级标准）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固废</w:t>
                  </w:r>
                </w:p>
              </w:tc>
              <w:tc>
                <w:tcPr>
                  <w:tcW w:w="1243"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351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医疗废物依托医院现有医废暂存间，委托</w:t>
                  </w:r>
                  <w:r>
                    <w:rPr>
                      <w:rFonts w:hint="eastAsia" w:ascii="宋体" w:hAnsi="宋体" w:eastAsia="宋体" w:cs="宋体"/>
                      <w:color w:val="auto"/>
                      <w:sz w:val="21"/>
                      <w:szCs w:val="21"/>
                      <w:lang w:val="en-US" w:eastAsia="zh-CN"/>
                    </w:rPr>
                    <w:t>安庆发投环保科技有限责任公司</w:t>
                  </w:r>
                  <w:r>
                    <w:rPr>
                      <w:rFonts w:hint="eastAsia" w:ascii="宋体" w:hAnsi="宋体" w:eastAsia="宋体" w:cs="宋体"/>
                      <w:color w:val="auto"/>
                      <w:sz w:val="21"/>
                      <w:szCs w:val="21"/>
                      <w:lang w:eastAsia="zh-CN"/>
                    </w:rPr>
                    <w:t>进行处置</w:t>
                  </w:r>
                </w:p>
              </w:tc>
              <w:tc>
                <w:tcPr>
                  <w:tcW w:w="3411"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医院医疗废物暂存间位于院区东北角污水处理站内，面积约14m</w:t>
                  </w:r>
                  <w:r>
                    <w:rPr>
                      <w:rFonts w:hint="eastAsia" w:ascii="宋体" w:hAnsi="宋体" w:eastAsia="宋体" w:cs="宋体"/>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sz w:val="21"/>
                      <w:szCs w:val="21"/>
                      <w:lang w:eastAsia="zh-CN"/>
                    </w:rPr>
                    <w:t>医疗废物已按照要求存放在医废暂存间，并已委托</w:t>
                  </w:r>
                  <w:r>
                    <w:rPr>
                      <w:rFonts w:hint="eastAsia" w:ascii="宋体" w:hAnsi="宋体" w:eastAsia="宋体" w:cs="宋体"/>
                      <w:color w:val="auto"/>
                      <w:sz w:val="21"/>
                      <w:szCs w:val="21"/>
                      <w:lang w:val="en-US" w:eastAsia="zh-CN"/>
                    </w:rPr>
                    <w:t>安庆发投环保科技有限责任公司</w:t>
                  </w:r>
                  <w:r>
                    <w:rPr>
                      <w:rFonts w:hint="eastAsia" w:ascii="宋体" w:hAnsi="宋体" w:eastAsia="宋体" w:cs="宋体"/>
                      <w:color w:val="auto"/>
                      <w:sz w:val="21"/>
                      <w:szCs w:val="21"/>
                      <w:lang w:eastAsia="zh-CN"/>
                    </w:rPr>
                    <w:t>进行处置</w:t>
                  </w:r>
                </w:p>
              </w:tc>
            </w:tr>
          </w:tbl>
          <w:p>
            <w:pPr>
              <w:pStyle w:val="3"/>
              <w:numPr>
                <w:ilvl w:val="0"/>
                <w:numId w:val="0"/>
              </w:numPr>
              <w:ind w:leftChars="0"/>
              <w:jc w:val="both"/>
              <w:rPr>
                <w:rFonts w:ascii="Times New Roman" w:hAnsi="Times New Roman" w:cs="Times New Roman"/>
                <w:color w:val="auto"/>
                <w:szCs w:val="28"/>
              </w:rPr>
            </w:pPr>
          </w:p>
          <w:p>
            <w:pPr>
              <w:widowControl w:val="0"/>
              <w:spacing w:line="360" w:lineRule="auto"/>
              <w:ind w:firstLine="480" w:firstLineChars="200"/>
              <w:rPr>
                <w:rFonts w:ascii="Times New Roman" w:hAnsi="Times New Roman" w:cs="Times New Roman"/>
                <w:color w:val="auto"/>
              </w:rPr>
            </w:pPr>
          </w:p>
        </w:tc>
      </w:tr>
    </w:tbl>
    <w:p>
      <w:pPr>
        <w:rPr>
          <w:color w:val="auto"/>
        </w:rPr>
      </w:pPr>
    </w:p>
    <w:p>
      <w:pPr>
        <w:pStyle w:val="14"/>
        <w:rPr>
          <w:color w:val="auto"/>
        </w:rPr>
      </w:pPr>
    </w:p>
    <w:p>
      <w:pPr>
        <w:spacing w:line="360" w:lineRule="auto"/>
        <w:ind w:hanging="215"/>
        <w:jc w:val="center"/>
        <w:outlineLvl w:val="0"/>
        <w:rPr>
          <w:rFonts w:hint="eastAsia" w:cs="Times New Roman"/>
          <w:b/>
          <w:bCs/>
          <w:color w:val="auto"/>
          <w:sz w:val="24"/>
          <w:szCs w:val="24"/>
          <w:lang w:val="en-US" w:eastAsia="zh-CN"/>
        </w:rPr>
      </w:pPr>
      <w:bookmarkStart w:id="30" w:name="_Toc26742"/>
      <w:r>
        <w:rPr>
          <w:rFonts w:hint="eastAsia" w:cs="Times New Roman"/>
          <w:b/>
          <w:bCs/>
          <w:color w:val="auto"/>
          <w:sz w:val="24"/>
          <w:szCs w:val="24"/>
          <w:lang w:val="en-US" w:eastAsia="zh-CN"/>
        </w:rPr>
        <w:t>表9 验收监测结论</w:t>
      </w:r>
      <w:bookmarkEnd w:id="30"/>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174" w:type="dxa"/>
          </w:tcPr>
          <w:p>
            <w:pPr>
              <w:keepNext w:val="0"/>
              <w:keepLines w:val="0"/>
              <w:widowControl/>
              <w:suppressLineNumbers w:val="0"/>
              <w:spacing w:line="360" w:lineRule="auto"/>
              <w:jc w:val="left"/>
              <w:rPr>
                <w:rFonts w:hint="default"/>
                <w:color w:val="auto"/>
              </w:rPr>
            </w:pPr>
            <w:r>
              <w:rPr>
                <w:rFonts w:hint="default"/>
                <w:b/>
                <w:bCs/>
                <w:color w:val="auto"/>
                <w:lang w:val="en-US" w:eastAsia="zh-CN"/>
              </w:rPr>
              <w:t>一、验收结论：</w:t>
            </w:r>
            <w:r>
              <w:rPr>
                <w:rFonts w:hint="default"/>
                <w:color w:val="auto"/>
                <w:lang w:val="en-US" w:eastAsia="zh-CN"/>
              </w:rPr>
              <w:t xml:space="preserve"> </w:t>
            </w:r>
          </w:p>
          <w:p>
            <w:pPr>
              <w:keepNext w:val="0"/>
              <w:keepLines w:val="0"/>
              <w:widowControl/>
              <w:suppressLineNumbers w:val="0"/>
              <w:spacing w:line="360" w:lineRule="auto"/>
              <w:ind w:firstLine="480" w:firstLineChars="200"/>
              <w:jc w:val="left"/>
              <w:rPr>
                <w:rFonts w:hint="default"/>
                <w:color w:val="auto"/>
                <w:lang w:val="en-US" w:eastAsia="zh-CN"/>
              </w:rPr>
            </w:pPr>
            <w:r>
              <w:rPr>
                <w:rFonts w:hint="eastAsia"/>
                <w:color w:val="auto"/>
                <w:lang w:val="en-US" w:eastAsia="zh-CN"/>
              </w:rPr>
              <w:t>（一）辐射影响验收结论</w:t>
            </w:r>
          </w:p>
          <w:p>
            <w:pPr>
              <w:keepNext w:val="0"/>
              <w:keepLines w:val="0"/>
              <w:widowControl/>
              <w:suppressLineNumbers w:val="0"/>
              <w:spacing w:line="360" w:lineRule="auto"/>
              <w:ind w:firstLine="480" w:firstLineChars="200"/>
              <w:jc w:val="left"/>
              <w:rPr>
                <w:rFonts w:hint="default"/>
                <w:color w:val="auto"/>
                <w:lang w:val="en-US" w:eastAsia="zh-CN"/>
              </w:rPr>
            </w:pPr>
            <w:r>
              <w:rPr>
                <w:rFonts w:hint="default"/>
                <w:color w:val="auto"/>
                <w:lang w:val="en-US" w:eastAsia="zh-CN"/>
              </w:rPr>
              <w:t>1、南京鼓楼医院集团安庆市石化医院DSA项目落实了环境影响评价制度、辐射安全许可制度和建设项目环境保护“三同时”制度。环境影响报告表批复中所确定的辐射防护和安全措施已落实。</w:t>
            </w:r>
          </w:p>
          <w:p>
            <w:pPr>
              <w:keepNext w:val="0"/>
              <w:keepLines w:val="0"/>
              <w:widowControl/>
              <w:suppressLineNumbers w:val="0"/>
              <w:spacing w:line="360" w:lineRule="auto"/>
              <w:ind w:firstLine="480" w:firstLineChars="200"/>
              <w:jc w:val="left"/>
              <w:rPr>
                <w:rFonts w:hint="default"/>
                <w:color w:val="auto"/>
                <w:lang w:val="en-US" w:eastAsia="zh-CN"/>
              </w:rPr>
            </w:pPr>
            <w:r>
              <w:rPr>
                <w:rFonts w:hint="default"/>
                <w:color w:val="auto"/>
                <w:lang w:val="en-US" w:eastAsia="zh-CN"/>
              </w:rPr>
              <w:t>2、现场监测结果表明，该项目在正常运行工况下，DSA机房周围环境的剂量率在0.13~0.15</w:t>
            </w:r>
          </w:p>
          <w:p>
            <w:pPr>
              <w:keepNext w:val="0"/>
              <w:keepLines w:val="0"/>
              <w:widowControl/>
              <w:suppressLineNumbers w:val="0"/>
              <w:spacing w:line="360" w:lineRule="auto"/>
              <w:jc w:val="left"/>
              <w:rPr>
                <w:rFonts w:hint="default"/>
                <w:color w:val="auto"/>
                <w:lang w:val="en-US" w:eastAsia="zh-CN"/>
              </w:rPr>
            </w:pPr>
            <w:r>
              <w:rPr>
                <w:rFonts w:hint="default"/>
                <w:color w:val="auto"/>
                <w:lang w:val="en-US" w:eastAsia="zh-CN"/>
              </w:rPr>
              <w:t>μSv/h，经计算，DSA机房周围辐射工作人员和公众所受年有效剂量满足国家标准及医院管理目标限制，表明该项目机房的屏蔽能力符合防护要求。</w:t>
            </w:r>
          </w:p>
          <w:p>
            <w:pPr>
              <w:keepNext w:val="0"/>
              <w:keepLines w:val="0"/>
              <w:widowControl/>
              <w:suppressLineNumbers w:val="0"/>
              <w:spacing w:line="360" w:lineRule="auto"/>
              <w:ind w:firstLine="480" w:firstLineChars="200"/>
              <w:jc w:val="left"/>
              <w:rPr>
                <w:rFonts w:hint="default"/>
                <w:color w:val="auto"/>
                <w:lang w:val="en-US" w:eastAsia="zh-CN"/>
              </w:rPr>
            </w:pPr>
            <w:r>
              <w:rPr>
                <w:rFonts w:hint="default"/>
                <w:color w:val="auto"/>
                <w:lang w:val="en-US" w:eastAsia="zh-CN"/>
              </w:rPr>
              <w:t>3、现场检查结果表明，工作场所已按照国家有关规定设置了明显的辐射警示标志，机房出入口设置了安全和防护设施与工作状态指示灯。辐射工作场所防止误操作、防止工作人员和公众受到意外照射的安全措施比较完善。</w:t>
            </w:r>
          </w:p>
          <w:p>
            <w:pPr>
              <w:keepNext w:val="0"/>
              <w:keepLines w:val="0"/>
              <w:widowControl/>
              <w:suppressLineNumbers w:val="0"/>
              <w:spacing w:line="360" w:lineRule="auto"/>
              <w:ind w:firstLine="480" w:firstLineChars="200"/>
              <w:jc w:val="left"/>
              <w:rPr>
                <w:rFonts w:hint="default"/>
                <w:color w:val="auto"/>
                <w:lang w:val="en-US" w:eastAsia="zh-CN"/>
              </w:rPr>
            </w:pPr>
            <w:r>
              <w:rPr>
                <w:rFonts w:hint="default"/>
                <w:color w:val="auto"/>
                <w:lang w:val="en-US" w:eastAsia="zh-CN"/>
              </w:rPr>
              <w:t>4、该医院辐射安全管理机构健全，辐射防护和安全管理制度比较完善</w:t>
            </w:r>
            <w:r>
              <w:rPr>
                <w:rFonts w:hint="eastAsia"/>
                <w:color w:val="auto"/>
                <w:lang w:val="en-US" w:eastAsia="zh-CN"/>
              </w:rPr>
              <w:t>，</w:t>
            </w:r>
            <w:r>
              <w:rPr>
                <w:rFonts w:hint="default"/>
                <w:color w:val="auto"/>
                <w:lang w:val="en-US" w:eastAsia="zh-CN"/>
              </w:rPr>
              <w:t>辐射防护和环境保护相关档案资料齐备，相关法规要求基本落实。</w:t>
            </w:r>
          </w:p>
          <w:p>
            <w:pPr>
              <w:keepNext w:val="0"/>
              <w:keepLines w:val="0"/>
              <w:widowControl/>
              <w:suppressLineNumbers w:val="0"/>
              <w:spacing w:line="360" w:lineRule="auto"/>
              <w:ind w:firstLine="480" w:firstLineChars="200"/>
              <w:jc w:val="left"/>
              <w:rPr>
                <w:rFonts w:hint="default"/>
                <w:color w:val="auto"/>
                <w:lang w:val="en-US" w:eastAsia="zh-CN"/>
              </w:rPr>
            </w:pPr>
            <w:r>
              <w:rPr>
                <w:rFonts w:hint="default"/>
                <w:color w:val="auto"/>
                <w:lang w:val="en-US" w:eastAsia="zh-CN"/>
              </w:rPr>
              <w:t>5、该项目从事辐射工作的人员已通过辐射安全和防护专业知识及相关法律法规的培训和考核，持证上岗。</w:t>
            </w:r>
          </w:p>
          <w:p>
            <w:pPr>
              <w:keepNext w:val="0"/>
              <w:keepLines w:val="0"/>
              <w:widowControl/>
              <w:suppressLineNumbers w:val="0"/>
              <w:spacing w:line="360" w:lineRule="auto"/>
              <w:ind w:firstLine="480" w:firstLineChars="200"/>
              <w:jc w:val="left"/>
              <w:rPr>
                <w:rFonts w:hint="default"/>
                <w:color w:val="auto"/>
                <w:lang w:val="en-US" w:eastAsia="zh-CN"/>
              </w:rPr>
            </w:pPr>
            <w:r>
              <w:rPr>
                <w:rFonts w:hint="default"/>
                <w:color w:val="auto"/>
                <w:lang w:val="en-US" w:eastAsia="zh-CN"/>
              </w:rPr>
              <w:t>6、配备了必要的防护用品和监测仪器。</w:t>
            </w:r>
          </w:p>
          <w:p>
            <w:pPr>
              <w:keepNext w:val="0"/>
              <w:keepLines w:val="0"/>
              <w:widowControl/>
              <w:suppressLineNumbers w:val="0"/>
              <w:spacing w:line="360" w:lineRule="auto"/>
              <w:ind w:firstLine="480" w:firstLineChars="200"/>
              <w:jc w:val="left"/>
              <w:rPr>
                <w:rFonts w:hint="default"/>
                <w:color w:val="auto"/>
                <w:lang w:val="en-US" w:eastAsia="zh-CN"/>
              </w:rPr>
            </w:pPr>
            <w:r>
              <w:rPr>
                <w:rFonts w:hint="default"/>
                <w:color w:val="auto"/>
                <w:lang w:val="en-US" w:eastAsia="zh-CN"/>
              </w:rPr>
              <w:t>7、制订了辐射事故应急预案。</w:t>
            </w:r>
          </w:p>
          <w:p>
            <w:pPr>
              <w:pStyle w:val="14"/>
              <w:widowControl w:val="0"/>
              <w:spacing w:line="360" w:lineRule="auto"/>
              <w:jc w:val="both"/>
              <w:rPr>
                <w:rFonts w:hint="eastAsia" w:asciiTheme="minorEastAsia" w:hAnsiTheme="minorEastAsia" w:eastAsiaTheme="minorEastAsia" w:cstheme="minorEastAsia"/>
                <w:color w:val="auto"/>
                <w:sz w:val="24"/>
                <w:szCs w:val="24"/>
                <w:lang w:val="en-US" w:eastAsia="zh-CN"/>
              </w:rPr>
            </w:pPr>
            <w:r>
              <w:rPr>
                <w:rFonts w:hint="eastAsia"/>
                <w:color w:val="auto"/>
                <w:lang w:val="en-US" w:eastAsia="zh-CN"/>
              </w:rPr>
              <w:t xml:space="preserve"> </w:t>
            </w:r>
            <w:r>
              <w:rPr>
                <w:rFonts w:hint="eastAsia" w:asciiTheme="minorEastAsia" w:hAnsiTheme="minorEastAsia" w:eastAsiaTheme="minorEastAsia" w:cstheme="minorEastAsia"/>
                <w:color w:val="auto"/>
                <w:sz w:val="24"/>
                <w:szCs w:val="24"/>
                <w:lang w:val="en-US" w:eastAsia="zh-CN"/>
              </w:rPr>
              <w:t>（二）</w:t>
            </w:r>
            <w:r>
              <w:rPr>
                <w:rFonts w:hint="eastAsia" w:asciiTheme="minorEastAsia" w:hAnsiTheme="minorEastAsia" w:eastAsiaTheme="minorEastAsia" w:cstheme="minorEastAsia"/>
                <w:color w:val="auto"/>
                <w:sz w:val="24"/>
                <w:szCs w:val="24"/>
                <w:lang w:val="en-US" w:eastAsia="zh-CN"/>
              </w:rPr>
              <w:t>非辐射影响验收结论</w:t>
            </w:r>
          </w:p>
          <w:p>
            <w:pPr>
              <w:pStyle w:val="14"/>
              <w:widowControl w:val="0"/>
              <w:spacing w:line="360" w:lineRule="auto"/>
              <w:ind w:firstLine="48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1、废水治理设施：本项目废水依托医院现有污水处理系统处理后经市政管网排入东城污水处理厂，依托措施可行。</w:t>
            </w:r>
            <w:r>
              <w:rPr>
                <w:rFonts w:hint="eastAsia" w:asciiTheme="minorEastAsia" w:hAnsiTheme="minorEastAsia" w:eastAsiaTheme="minorEastAsia" w:cstheme="minorEastAsia"/>
                <w:color w:val="auto"/>
                <w:sz w:val="24"/>
                <w:szCs w:val="24"/>
                <w:lang w:val="en-US" w:eastAsia="zh-CN"/>
              </w:rPr>
              <w:br w:type="textWrapping"/>
            </w:r>
            <w:r>
              <w:rPr>
                <w:rFonts w:hint="eastAsia" w:asciiTheme="minorEastAsia" w:hAnsiTheme="minorEastAsia" w:eastAsiaTheme="minorEastAsia" w:cstheme="minorEastAsia"/>
                <w:color w:val="auto"/>
                <w:sz w:val="24"/>
                <w:szCs w:val="24"/>
                <w:lang w:val="en-US" w:eastAsia="zh-CN"/>
              </w:rPr>
              <w:t xml:space="preserve">    2、废气治理设施：机房产生的极少量废气经自然通风排出后自然稀释，对周围环境影响很小。</w:t>
            </w:r>
          </w:p>
          <w:p>
            <w:pPr>
              <w:pStyle w:val="14"/>
              <w:widowControl w:val="0"/>
              <w:spacing w:line="360" w:lineRule="auto"/>
              <w:ind w:firstLine="48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3、噪声治理设施：本项目噪声源主要为空调外机运行时噪声，噪声源本身分贝值较低，对环境的影响可忽略不计。</w:t>
            </w:r>
            <w:r>
              <w:rPr>
                <w:rFonts w:hint="eastAsia" w:asciiTheme="minorEastAsia" w:hAnsiTheme="minorEastAsia" w:eastAsiaTheme="minorEastAsia" w:cstheme="minorEastAsia"/>
                <w:color w:val="auto"/>
                <w:sz w:val="24"/>
                <w:szCs w:val="24"/>
                <w:lang w:val="en-US" w:eastAsia="zh-CN"/>
              </w:rPr>
              <w:br w:type="textWrapping"/>
            </w:r>
            <w:r>
              <w:rPr>
                <w:rFonts w:hint="eastAsia" w:asciiTheme="minorEastAsia" w:hAnsiTheme="minorEastAsia" w:eastAsiaTheme="minorEastAsia" w:cstheme="minorEastAsia"/>
                <w:color w:val="auto"/>
                <w:sz w:val="24"/>
                <w:szCs w:val="24"/>
                <w:lang w:val="en-US" w:eastAsia="zh-CN"/>
              </w:rPr>
              <w:t xml:space="preserve">    4、固体废物治理设施：本项目新增的医疗废物和生活垃圾依托医院现有的收集系统统一处理是可行的。</w:t>
            </w:r>
          </w:p>
          <w:p>
            <w:pPr>
              <w:pStyle w:val="14"/>
              <w:widowControl w:val="0"/>
              <w:spacing w:line="360" w:lineRule="auto"/>
              <w:ind w:firstLine="48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br w:type="textWrapping"/>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val="en-US" w:eastAsia="zh-CN"/>
              </w:rPr>
              <w:t>综上所述，南京鼓楼医院集团安庆市石化医院已基本落实相关环评及环评批复要求，基本符合医用DSA所需要安全防护措施条件，其运行对周围环境产生的影响符合辐射防护和环境保护的要求。在完善落实环评报告的三同时措施后满足《建设项目竣工环境保护验收暂行办法》（国家环境保护总局第13号）的有关规定，具备竣工验收条件。</w:t>
            </w:r>
          </w:p>
          <w:p>
            <w:pPr>
              <w:pStyle w:val="14"/>
              <w:widowControl w:val="0"/>
              <w:spacing w:line="360" w:lineRule="auto"/>
              <w:jc w:val="both"/>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二、建议</w:t>
            </w:r>
          </w:p>
          <w:p>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1、应定期对放射性工作场所进行监测，并保存监测记录。 </w:t>
            </w:r>
          </w:p>
          <w:p>
            <w:pPr>
              <w:keepNext w:val="0"/>
              <w:keepLines w:val="0"/>
              <w:widowControl/>
              <w:suppressLineNumbers w:val="0"/>
              <w:spacing w:line="360" w:lineRule="auto"/>
              <w:ind w:firstLine="480" w:firstLineChars="200"/>
              <w:jc w:val="left"/>
              <w:rPr>
                <w:rFonts w:hint="default"/>
                <w:color w:val="auto"/>
                <w:lang w:val="en-US" w:eastAsia="zh-CN"/>
              </w:rPr>
            </w:pPr>
            <w:r>
              <w:rPr>
                <w:rFonts w:hint="eastAsia" w:asciiTheme="minorEastAsia" w:hAnsiTheme="minorEastAsia" w:eastAsiaTheme="minorEastAsia" w:cstheme="minorEastAsia"/>
                <w:color w:val="auto"/>
                <w:sz w:val="24"/>
                <w:szCs w:val="24"/>
                <w:lang w:val="en-US" w:eastAsia="zh-CN"/>
              </w:rPr>
              <w:t>2、医院应严格按照GBZ 128-2019中相关要求规范辐射工作人员个人剂量佩戴方式，介入科室医生需佩戴两枚个人剂量，（绿色个人剂量计佩带于左胸前，橙色个人剂量计佩带于铅橡胶围脖上），医院须严格监督放射工作人员正确佩戴个人剂量，防止丢失导致数据缺失。</w:t>
            </w:r>
          </w:p>
        </w:tc>
      </w:tr>
    </w:tbl>
    <w:p>
      <w:pPr>
        <w:rPr>
          <w:color w:val="auto"/>
        </w:rPr>
      </w:pPr>
    </w:p>
    <w:sectPr>
      <w:pgSz w:w="11906" w:h="16838"/>
      <w:pgMar w:top="1701" w:right="1418" w:bottom="1440" w:left="1701" w:header="851" w:footer="992"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Georgia">
    <w:panose1 w:val="02040502050405020303"/>
    <w:charset w:val="00"/>
    <w:family w:val="roman"/>
    <w:pitch w:val="default"/>
    <w:sig w:usb0="00000287" w:usb1="00000000" w:usb2="00000000" w:usb3="00000000" w:csb0="2000009F" w:csb1="00000000"/>
  </w:font>
  <w:font w:name="CG Times">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22" w:rightChars="-9"/>
      <w:jc w:val="center"/>
      <w:rPr>
        <w:rFonts w:ascii="Times New Roman" w:hAnsi="Times New Roman" w:cs="Times New Roman"/>
        <w:sz w:val="22"/>
        <w:szCs w:val="22"/>
      </w:rPr>
    </w:pPr>
    <w:r>
      <w:rPr>
        <w:rFonts w:hint="eastAsia" w:ascii="Times New Roman" w:hAnsi="Times New Roman" w:cs="Times New Roman"/>
        <w:sz w:val="22"/>
        <w:szCs w:val="22"/>
      </w:rPr>
      <w:t>-</w:t>
    </w:r>
    <w:r>
      <w:rPr>
        <w:rFonts w:ascii="Times New Roman" w:hAnsi="Times New Roman" w:cs="Times New Roman"/>
        <w:sz w:val="22"/>
        <w:szCs w:val="22"/>
      </w:rPr>
      <w:fldChar w:fldCharType="begin"/>
    </w:r>
    <w:r>
      <w:rPr>
        <w:rFonts w:ascii="Times New Roman" w:hAnsi="Times New Roman" w:cs="Times New Roman"/>
        <w:sz w:val="22"/>
        <w:szCs w:val="22"/>
      </w:rPr>
      <w:instrText xml:space="preserve">PAGE   \* MERGEFORMAT</w:instrText>
    </w:r>
    <w:r>
      <w:rPr>
        <w:rFonts w:ascii="Times New Roman" w:hAnsi="Times New Roman" w:cs="Times New Roman"/>
        <w:sz w:val="22"/>
        <w:szCs w:val="22"/>
      </w:rPr>
      <w:fldChar w:fldCharType="separate"/>
    </w:r>
    <w:r>
      <w:rPr>
        <w:rFonts w:ascii="Times New Roman" w:hAnsi="Times New Roman" w:cs="Times New Roman"/>
        <w:sz w:val="22"/>
        <w:szCs w:val="22"/>
        <w:lang w:val="zh-CN"/>
      </w:rPr>
      <w:t>31</w:t>
    </w:r>
    <w:r>
      <w:rPr>
        <w:rFonts w:ascii="Times New Roman" w:hAnsi="Times New Roman" w:cs="Times New Roman"/>
        <w:sz w:val="22"/>
        <w:szCs w:val="22"/>
      </w:rPr>
      <w:fldChar w:fldCharType="end"/>
    </w:r>
    <w:r>
      <w:rPr>
        <w:rFonts w:hint="eastAsia" w:ascii="Times New Roman" w:hAnsi="Times New Roman" w:cs="Times New Roman"/>
        <w:sz w:val="22"/>
        <w:szCs w:val="22"/>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8" w:leftChars="-270" w:right="-1200" w:rightChars="-500" w:firstLine="363" w:firstLineChars="165"/>
      <w:rPr>
        <w:rFonts w:hint="eastAsia" w:ascii="Times New Roman" w:hAnsi="Times New Roman" w:eastAsia="宋体" w:cs="Times New Roman"/>
        <w:sz w:val="22"/>
        <w:szCs w:val="22"/>
        <w:u w:val="single"/>
        <w:lang w:eastAsia="zh-CN"/>
      </w:rPr>
    </w:pPr>
    <w:r>
      <w:rPr>
        <w:rFonts w:hint="eastAsia" w:ascii="Times New Roman" w:hAnsi="Times New Roman" w:cs="Times New Roman"/>
        <w:sz w:val="22"/>
        <w:szCs w:val="22"/>
        <w:u w:val="single"/>
      </w:rPr>
      <w:t>安庆市</w:t>
    </w:r>
    <w:r>
      <w:rPr>
        <w:rFonts w:hint="eastAsia" w:ascii="Times New Roman" w:hAnsi="Times New Roman" w:cs="Times New Roman"/>
        <w:sz w:val="22"/>
        <w:szCs w:val="22"/>
        <w:u w:val="single"/>
        <w:lang w:eastAsia="zh-CN"/>
      </w:rPr>
      <w:t>石化</w:t>
    </w:r>
    <w:r>
      <w:rPr>
        <w:rFonts w:hint="eastAsia" w:ascii="Times New Roman" w:hAnsi="Times New Roman" w:cs="Times New Roman"/>
        <w:sz w:val="22"/>
        <w:szCs w:val="22"/>
        <w:u w:val="single"/>
      </w:rPr>
      <w:t>医院DSA</w:t>
    </w:r>
    <w:r>
      <w:rPr>
        <w:rFonts w:ascii="Times New Roman" w:hAnsi="Times New Roman" w:cs="Times New Roman"/>
        <w:sz w:val="22"/>
        <w:szCs w:val="22"/>
        <w:u w:val="single"/>
      </w:rPr>
      <w:t>项目竣工环境保护验收监测</w:t>
    </w:r>
    <w:r>
      <w:rPr>
        <w:rFonts w:hint="eastAsia" w:ascii="Times New Roman" w:hAnsi="Times New Roman" w:cs="Times New Roman"/>
        <w:sz w:val="22"/>
        <w:szCs w:val="22"/>
        <w:u w:val="single"/>
      </w:rPr>
      <w:t>报告</w:t>
    </w:r>
    <w:r>
      <w:rPr>
        <w:rFonts w:ascii="Times New Roman" w:hAnsi="Times New Roman" w:cs="Times New Roman"/>
        <w:sz w:val="22"/>
        <w:szCs w:val="22"/>
        <w:u w:val="single"/>
      </w:rPr>
      <w:t xml:space="preserve">表       </w:t>
    </w:r>
    <w:r>
      <w:rPr>
        <w:rFonts w:hint="eastAsia" w:ascii="Times New Roman" w:hAnsi="Times New Roman" w:cs="Times New Roman"/>
        <w:kern w:val="10"/>
        <w:sz w:val="22"/>
        <w:szCs w:val="22"/>
        <w:u w:val="single"/>
        <w:lang w:eastAsia="zh-CN"/>
      </w:rPr>
      <w:t>显闰辐环验字〔202</w:t>
    </w:r>
    <w:r>
      <w:rPr>
        <w:rFonts w:hint="eastAsia" w:ascii="Times New Roman" w:hAnsi="Times New Roman" w:cs="Times New Roman"/>
        <w:kern w:val="10"/>
        <w:sz w:val="22"/>
        <w:szCs w:val="22"/>
        <w:u w:val="single"/>
        <w:lang w:val="en-US" w:eastAsia="zh-CN"/>
      </w:rPr>
      <w:t>2</w:t>
    </w:r>
    <w:r>
      <w:rPr>
        <w:rFonts w:hint="eastAsia" w:ascii="Times New Roman" w:hAnsi="Times New Roman" w:cs="Times New Roman"/>
        <w:kern w:val="10"/>
        <w:sz w:val="22"/>
        <w:szCs w:val="22"/>
        <w:u w:val="single"/>
        <w:lang w:eastAsia="zh-CN"/>
      </w:rPr>
      <w:t>〕第0</w:t>
    </w:r>
    <w:r>
      <w:rPr>
        <w:rFonts w:hint="eastAsia" w:ascii="Times New Roman" w:hAnsi="Times New Roman" w:cs="Times New Roman"/>
        <w:kern w:val="10"/>
        <w:sz w:val="22"/>
        <w:szCs w:val="22"/>
        <w:u w:val="single"/>
        <w:lang w:val="en-US" w:eastAsia="zh-CN"/>
      </w:rPr>
      <w:t>1</w:t>
    </w:r>
    <w:r>
      <w:rPr>
        <w:rFonts w:hint="eastAsia" w:ascii="Times New Roman" w:hAnsi="Times New Roman" w:cs="Times New Roman"/>
        <w:kern w:val="10"/>
        <w:sz w:val="22"/>
        <w:szCs w:val="22"/>
        <w:u w:val="single"/>
        <w:lang w:eastAsia="zh-CN"/>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852C2D"/>
    <w:multiLevelType w:val="singleLevel"/>
    <w:tmpl w:val="07852C2D"/>
    <w:lvl w:ilvl="0" w:tentative="0">
      <w:start w:val="3"/>
      <w:numFmt w:val="decimal"/>
      <w:suff w:val="nothing"/>
      <w:lvlText w:val="（%1）"/>
      <w:lvlJc w:val="left"/>
    </w:lvl>
  </w:abstractNum>
  <w:abstractNum w:abstractNumId="1">
    <w:nsid w:val="3A2A2C00"/>
    <w:multiLevelType w:val="singleLevel"/>
    <w:tmpl w:val="3A2A2C00"/>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alignBordersAndEdges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3NTJhODgzNzgwNWNhZWNiNTE1ZmVlZGI4NWQxMjcifQ=="/>
  </w:docVars>
  <w:rsids>
    <w:rsidRoot w:val="00172A27"/>
    <w:rsid w:val="000001BE"/>
    <w:rsid w:val="00001532"/>
    <w:rsid w:val="0000193C"/>
    <w:rsid w:val="00001EAC"/>
    <w:rsid w:val="00003357"/>
    <w:rsid w:val="000037E4"/>
    <w:rsid w:val="000038C5"/>
    <w:rsid w:val="00003A2B"/>
    <w:rsid w:val="00003DFB"/>
    <w:rsid w:val="00004304"/>
    <w:rsid w:val="000049D3"/>
    <w:rsid w:val="00004AE8"/>
    <w:rsid w:val="00004B24"/>
    <w:rsid w:val="00004C68"/>
    <w:rsid w:val="00004E95"/>
    <w:rsid w:val="0000502B"/>
    <w:rsid w:val="000059EB"/>
    <w:rsid w:val="00005AA0"/>
    <w:rsid w:val="00005C4C"/>
    <w:rsid w:val="0000741E"/>
    <w:rsid w:val="000076B6"/>
    <w:rsid w:val="000102E0"/>
    <w:rsid w:val="00010688"/>
    <w:rsid w:val="00012830"/>
    <w:rsid w:val="00012B40"/>
    <w:rsid w:val="000141BE"/>
    <w:rsid w:val="00015DCE"/>
    <w:rsid w:val="00015F2D"/>
    <w:rsid w:val="0001604B"/>
    <w:rsid w:val="00016679"/>
    <w:rsid w:val="00016845"/>
    <w:rsid w:val="00017256"/>
    <w:rsid w:val="000173E5"/>
    <w:rsid w:val="000178DB"/>
    <w:rsid w:val="000224EA"/>
    <w:rsid w:val="00022DD4"/>
    <w:rsid w:val="00022FD4"/>
    <w:rsid w:val="00023D89"/>
    <w:rsid w:val="00025F91"/>
    <w:rsid w:val="00030344"/>
    <w:rsid w:val="000316A9"/>
    <w:rsid w:val="00032123"/>
    <w:rsid w:val="00032A5F"/>
    <w:rsid w:val="000358E3"/>
    <w:rsid w:val="000363FF"/>
    <w:rsid w:val="0003648F"/>
    <w:rsid w:val="00036687"/>
    <w:rsid w:val="00036EA0"/>
    <w:rsid w:val="00037140"/>
    <w:rsid w:val="00037142"/>
    <w:rsid w:val="00037C67"/>
    <w:rsid w:val="00037C77"/>
    <w:rsid w:val="00037EE5"/>
    <w:rsid w:val="0004040A"/>
    <w:rsid w:val="00041944"/>
    <w:rsid w:val="00042238"/>
    <w:rsid w:val="0004249F"/>
    <w:rsid w:val="000424E6"/>
    <w:rsid w:val="00043E53"/>
    <w:rsid w:val="0004444F"/>
    <w:rsid w:val="00044492"/>
    <w:rsid w:val="000445B9"/>
    <w:rsid w:val="00044BCC"/>
    <w:rsid w:val="00044BDF"/>
    <w:rsid w:val="00044E2F"/>
    <w:rsid w:val="000500A6"/>
    <w:rsid w:val="000505D8"/>
    <w:rsid w:val="00051B33"/>
    <w:rsid w:val="00052147"/>
    <w:rsid w:val="00052CE7"/>
    <w:rsid w:val="000531C2"/>
    <w:rsid w:val="000532C5"/>
    <w:rsid w:val="000536BA"/>
    <w:rsid w:val="0005456A"/>
    <w:rsid w:val="00054910"/>
    <w:rsid w:val="00055335"/>
    <w:rsid w:val="00055E0D"/>
    <w:rsid w:val="00056F9D"/>
    <w:rsid w:val="000574D3"/>
    <w:rsid w:val="00060D36"/>
    <w:rsid w:val="000615DB"/>
    <w:rsid w:val="000616C3"/>
    <w:rsid w:val="00061A38"/>
    <w:rsid w:val="00061CD5"/>
    <w:rsid w:val="00061CF2"/>
    <w:rsid w:val="00062B97"/>
    <w:rsid w:val="00063239"/>
    <w:rsid w:val="0006391C"/>
    <w:rsid w:val="00063B95"/>
    <w:rsid w:val="00064348"/>
    <w:rsid w:val="0006508E"/>
    <w:rsid w:val="00065737"/>
    <w:rsid w:val="00065AC9"/>
    <w:rsid w:val="000666FE"/>
    <w:rsid w:val="00066AFC"/>
    <w:rsid w:val="000673D5"/>
    <w:rsid w:val="00070E09"/>
    <w:rsid w:val="00071162"/>
    <w:rsid w:val="00071C94"/>
    <w:rsid w:val="00072B38"/>
    <w:rsid w:val="00072BEA"/>
    <w:rsid w:val="0007399C"/>
    <w:rsid w:val="00074E5C"/>
    <w:rsid w:val="0007557E"/>
    <w:rsid w:val="00076479"/>
    <w:rsid w:val="00076D4C"/>
    <w:rsid w:val="000774A1"/>
    <w:rsid w:val="00080096"/>
    <w:rsid w:val="0008030A"/>
    <w:rsid w:val="00080745"/>
    <w:rsid w:val="00082358"/>
    <w:rsid w:val="000829C4"/>
    <w:rsid w:val="000835F3"/>
    <w:rsid w:val="0008497F"/>
    <w:rsid w:val="00085752"/>
    <w:rsid w:val="00085820"/>
    <w:rsid w:val="00085B1F"/>
    <w:rsid w:val="00086281"/>
    <w:rsid w:val="00086E16"/>
    <w:rsid w:val="000873B4"/>
    <w:rsid w:val="000912E9"/>
    <w:rsid w:val="0009150F"/>
    <w:rsid w:val="00091987"/>
    <w:rsid w:val="00091E65"/>
    <w:rsid w:val="00092CF3"/>
    <w:rsid w:val="00094BF9"/>
    <w:rsid w:val="0009583B"/>
    <w:rsid w:val="00097693"/>
    <w:rsid w:val="000A1CB3"/>
    <w:rsid w:val="000A2280"/>
    <w:rsid w:val="000A5894"/>
    <w:rsid w:val="000A6209"/>
    <w:rsid w:val="000A630B"/>
    <w:rsid w:val="000A76BE"/>
    <w:rsid w:val="000A7E81"/>
    <w:rsid w:val="000B02EE"/>
    <w:rsid w:val="000B0D36"/>
    <w:rsid w:val="000B0E69"/>
    <w:rsid w:val="000B1020"/>
    <w:rsid w:val="000B2E78"/>
    <w:rsid w:val="000B437F"/>
    <w:rsid w:val="000B58FC"/>
    <w:rsid w:val="000B61DC"/>
    <w:rsid w:val="000B6873"/>
    <w:rsid w:val="000B7058"/>
    <w:rsid w:val="000B75CD"/>
    <w:rsid w:val="000B794A"/>
    <w:rsid w:val="000B7E45"/>
    <w:rsid w:val="000C048E"/>
    <w:rsid w:val="000C1B28"/>
    <w:rsid w:val="000C1BEC"/>
    <w:rsid w:val="000C1DA3"/>
    <w:rsid w:val="000C249E"/>
    <w:rsid w:val="000C5357"/>
    <w:rsid w:val="000C54E5"/>
    <w:rsid w:val="000C5AA2"/>
    <w:rsid w:val="000C5B2C"/>
    <w:rsid w:val="000D0256"/>
    <w:rsid w:val="000D07AD"/>
    <w:rsid w:val="000D0ACB"/>
    <w:rsid w:val="000D13B7"/>
    <w:rsid w:val="000D170C"/>
    <w:rsid w:val="000D2498"/>
    <w:rsid w:val="000D420F"/>
    <w:rsid w:val="000D4820"/>
    <w:rsid w:val="000D5200"/>
    <w:rsid w:val="000E0737"/>
    <w:rsid w:val="000E0782"/>
    <w:rsid w:val="000E11FF"/>
    <w:rsid w:val="000E16DB"/>
    <w:rsid w:val="000E1BAF"/>
    <w:rsid w:val="000E1F2D"/>
    <w:rsid w:val="000E4152"/>
    <w:rsid w:val="000E54AE"/>
    <w:rsid w:val="000E5DFC"/>
    <w:rsid w:val="000E6693"/>
    <w:rsid w:val="000E6910"/>
    <w:rsid w:val="000E6AE4"/>
    <w:rsid w:val="000E7586"/>
    <w:rsid w:val="000F1A64"/>
    <w:rsid w:val="000F252C"/>
    <w:rsid w:val="000F2788"/>
    <w:rsid w:val="000F3E4F"/>
    <w:rsid w:val="000F5616"/>
    <w:rsid w:val="000F5C7C"/>
    <w:rsid w:val="000F69DA"/>
    <w:rsid w:val="00100D50"/>
    <w:rsid w:val="00102272"/>
    <w:rsid w:val="001028B9"/>
    <w:rsid w:val="00103A2B"/>
    <w:rsid w:val="00103D4D"/>
    <w:rsid w:val="00106CBB"/>
    <w:rsid w:val="001107CD"/>
    <w:rsid w:val="001108E3"/>
    <w:rsid w:val="0011132E"/>
    <w:rsid w:val="00111594"/>
    <w:rsid w:val="0011170C"/>
    <w:rsid w:val="001129B8"/>
    <w:rsid w:val="00112E68"/>
    <w:rsid w:val="001148E5"/>
    <w:rsid w:val="001153EF"/>
    <w:rsid w:val="00116A4D"/>
    <w:rsid w:val="00117435"/>
    <w:rsid w:val="00120145"/>
    <w:rsid w:val="001203F2"/>
    <w:rsid w:val="0012191B"/>
    <w:rsid w:val="00124298"/>
    <w:rsid w:val="001246E3"/>
    <w:rsid w:val="00124E70"/>
    <w:rsid w:val="00124E8E"/>
    <w:rsid w:val="001273D1"/>
    <w:rsid w:val="00130A5B"/>
    <w:rsid w:val="00130F34"/>
    <w:rsid w:val="001312FB"/>
    <w:rsid w:val="0013295A"/>
    <w:rsid w:val="00134A4A"/>
    <w:rsid w:val="00135E02"/>
    <w:rsid w:val="0013605E"/>
    <w:rsid w:val="001368CE"/>
    <w:rsid w:val="00136B14"/>
    <w:rsid w:val="00137051"/>
    <w:rsid w:val="001370FD"/>
    <w:rsid w:val="001419A1"/>
    <w:rsid w:val="00141AB4"/>
    <w:rsid w:val="001423E1"/>
    <w:rsid w:val="001429BF"/>
    <w:rsid w:val="00142D16"/>
    <w:rsid w:val="001438D4"/>
    <w:rsid w:val="001442F2"/>
    <w:rsid w:val="001443AB"/>
    <w:rsid w:val="001458C7"/>
    <w:rsid w:val="001468C9"/>
    <w:rsid w:val="0014766D"/>
    <w:rsid w:val="00147B8A"/>
    <w:rsid w:val="00147E65"/>
    <w:rsid w:val="00150658"/>
    <w:rsid w:val="00150C9D"/>
    <w:rsid w:val="00151C0E"/>
    <w:rsid w:val="00151D62"/>
    <w:rsid w:val="00152914"/>
    <w:rsid w:val="00154239"/>
    <w:rsid w:val="0015427D"/>
    <w:rsid w:val="00154776"/>
    <w:rsid w:val="00155CFC"/>
    <w:rsid w:val="0015618B"/>
    <w:rsid w:val="00157609"/>
    <w:rsid w:val="0015798E"/>
    <w:rsid w:val="00157D88"/>
    <w:rsid w:val="00161855"/>
    <w:rsid w:val="00161EC6"/>
    <w:rsid w:val="00162D1C"/>
    <w:rsid w:val="001635EE"/>
    <w:rsid w:val="00165FEF"/>
    <w:rsid w:val="0016710E"/>
    <w:rsid w:val="00171A79"/>
    <w:rsid w:val="00171B46"/>
    <w:rsid w:val="0017223A"/>
    <w:rsid w:val="00172A27"/>
    <w:rsid w:val="00172B72"/>
    <w:rsid w:val="001737EC"/>
    <w:rsid w:val="00173FF3"/>
    <w:rsid w:val="001746C1"/>
    <w:rsid w:val="0017497D"/>
    <w:rsid w:val="00175F23"/>
    <w:rsid w:val="00176EA5"/>
    <w:rsid w:val="00177C8A"/>
    <w:rsid w:val="00181164"/>
    <w:rsid w:val="00181A3D"/>
    <w:rsid w:val="00181F59"/>
    <w:rsid w:val="00182149"/>
    <w:rsid w:val="00182290"/>
    <w:rsid w:val="00182AEB"/>
    <w:rsid w:val="00182E23"/>
    <w:rsid w:val="00186270"/>
    <w:rsid w:val="00187208"/>
    <w:rsid w:val="001877C4"/>
    <w:rsid w:val="00187945"/>
    <w:rsid w:val="00187C48"/>
    <w:rsid w:val="001905B7"/>
    <w:rsid w:val="001920A0"/>
    <w:rsid w:val="00194F85"/>
    <w:rsid w:val="00196BDA"/>
    <w:rsid w:val="0019760A"/>
    <w:rsid w:val="001A16C0"/>
    <w:rsid w:val="001A19C4"/>
    <w:rsid w:val="001A22BE"/>
    <w:rsid w:val="001A4CB2"/>
    <w:rsid w:val="001A4F25"/>
    <w:rsid w:val="001A50EC"/>
    <w:rsid w:val="001A7C5D"/>
    <w:rsid w:val="001B06F5"/>
    <w:rsid w:val="001B077C"/>
    <w:rsid w:val="001B090A"/>
    <w:rsid w:val="001B2E12"/>
    <w:rsid w:val="001B3D32"/>
    <w:rsid w:val="001B405D"/>
    <w:rsid w:val="001B4158"/>
    <w:rsid w:val="001B4340"/>
    <w:rsid w:val="001B4513"/>
    <w:rsid w:val="001B4659"/>
    <w:rsid w:val="001B4F0F"/>
    <w:rsid w:val="001B6182"/>
    <w:rsid w:val="001B7B6B"/>
    <w:rsid w:val="001C07CA"/>
    <w:rsid w:val="001C19E8"/>
    <w:rsid w:val="001C1A2C"/>
    <w:rsid w:val="001C3D3C"/>
    <w:rsid w:val="001C49AD"/>
    <w:rsid w:val="001C5488"/>
    <w:rsid w:val="001C649E"/>
    <w:rsid w:val="001C78AD"/>
    <w:rsid w:val="001C7E1F"/>
    <w:rsid w:val="001D03E2"/>
    <w:rsid w:val="001D098C"/>
    <w:rsid w:val="001D1612"/>
    <w:rsid w:val="001D169A"/>
    <w:rsid w:val="001D1F8F"/>
    <w:rsid w:val="001D22BE"/>
    <w:rsid w:val="001D2E5C"/>
    <w:rsid w:val="001D2F3C"/>
    <w:rsid w:val="001D2FB1"/>
    <w:rsid w:val="001D3173"/>
    <w:rsid w:val="001D4A98"/>
    <w:rsid w:val="001D4CB7"/>
    <w:rsid w:val="001D5091"/>
    <w:rsid w:val="001D58FE"/>
    <w:rsid w:val="001D5A14"/>
    <w:rsid w:val="001D5DB0"/>
    <w:rsid w:val="001D5DBD"/>
    <w:rsid w:val="001D6991"/>
    <w:rsid w:val="001D76DD"/>
    <w:rsid w:val="001E0007"/>
    <w:rsid w:val="001E06F7"/>
    <w:rsid w:val="001E166C"/>
    <w:rsid w:val="001E194E"/>
    <w:rsid w:val="001E268F"/>
    <w:rsid w:val="001E332D"/>
    <w:rsid w:val="001E3831"/>
    <w:rsid w:val="001E3952"/>
    <w:rsid w:val="001E3F40"/>
    <w:rsid w:val="001E43D0"/>
    <w:rsid w:val="001E4501"/>
    <w:rsid w:val="001E4748"/>
    <w:rsid w:val="001E64FD"/>
    <w:rsid w:val="001E6C6F"/>
    <w:rsid w:val="001E7357"/>
    <w:rsid w:val="001E73F0"/>
    <w:rsid w:val="001E745E"/>
    <w:rsid w:val="001E7738"/>
    <w:rsid w:val="001E7BD6"/>
    <w:rsid w:val="001F0129"/>
    <w:rsid w:val="001F1FB0"/>
    <w:rsid w:val="001F2B85"/>
    <w:rsid w:val="001F3073"/>
    <w:rsid w:val="001F3291"/>
    <w:rsid w:val="001F3CF9"/>
    <w:rsid w:val="001F4502"/>
    <w:rsid w:val="001F45FE"/>
    <w:rsid w:val="001F4AF9"/>
    <w:rsid w:val="001F5764"/>
    <w:rsid w:val="001F5ADE"/>
    <w:rsid w:val="001F5F1C"/>
    <w:rsid w:val="001F5FC9"/>
    <w:rsid w:val="001F6678"/>
    <w:rsid w:val="00202BFA"/>
    <w:rsid w:val="00203B69"/>
    <w:rsid w:val="00203D48"/>
    <w:rsid w:val="002053D8"/>
    <w:rsid w:val="00205C20"/>
    <w:rsid w:val="00206848"/>
    <w:rsid w:val="00206BCE"/>
    <w:rsid w:val="0020746E"/>
    <w:rsid w:val="00207635"/>
    <w:rsid w:val="00207DFD"/>
    <w:rsid w:val="00207E18"/>
    <w:rsid w:val="00211B63"/>
    <w:rsid w:val="002123F5"/>
    <w:rsid w:val="00212B8C"/>
    <w:rsid w:val="00212F1F"/>
    <w:rsid w:val="00214B63"/>
    <w:rsid w:val="0021694A"/>
    <w:rsid w:val="00217209"/>
    <w:rsid w:val="002172E2"/>
    <w:rsid w:val="002177E0"/>
    <w:rsid w:val="00217FAF"/>
    <w:rsid w:val="00220CFF"/>
    <w:rsid w:val="002210B5"/>
    <w:rsid w:val="002211FD"/>
    <w:rsid w:val="0022149C"/>
    <w:rsid w:val="00221AEE"/>
    <w:rsid w:val="00221F47"/>
    <w:rsid w:val="00222B06"/>
    <w:rsid w:val="00223CEA"/>
    <w:rsid w:val="0022428D"/>
    <w:rsid w:val="00225355"/>
    <w:rsid w:val="00226EE9"/>
    <w:rsid w:val="0023005F"/>
    <w:rsid w:val="0023084D"/>
    <w:rsid w:val="00230CF3"/>
    <w:rsid w:val="00231AC3"/>
    <w:rsid w:val="00231DD2"/>
    <w:rsid w:val="002325AD"/>
    <w:rsid w:val="00234614"/>
    <w:rsid w:val="00234AB3"/>
    <w:rsid w:val="00234ACB"/>
    <w:rsid w:val="00234DF7"/>
    <w:rsid w:val="00234F21"/>
    <w:rsid w:val="002361FB"/>
    <w:rsid w:val="0023687B"/>
    <w:rsid w:val="00236949"/>
    <w:rsid w:val="00237062"/>
    <w:rsid w:val="00240746"/>
    <w:rsid w:val="00240C08"/>
    <w:rsid w:val="00241BC5"/>
    <w:rsid w:val="0024334D"/>
    <w:rsid w:val="002441AA"/>
    <w:rsid w:val="00244ECE"/>
    <w:rsid w:val="00246F96"/>
    <w:rsid w:val="0024774C"/>
    <w:rsid w:val="0025047C"/>
    <w:rsid w:val="002522A9"/>
    <w:rsid w:val="002524A7"/>
    <w:rsid w:val="00252C85"/>
    <w:rsid w:val="00253B99"/>
    <w:rsid w:val="00256DFB"/>
    <w:rsid w:val="00257B15"/>
    <w:rsid w:val="00257DC9"/>
    <w:rsid w:val="00260A69"/>
    <w:rsid w:val="00261836"/>
    <w:rsid w:val="00262467"/>
    <w:rsid w:val="00262D2E"/>
    <w:rsid w:val="00263255"/>
    <w:rsid w:val="002636D1"/>
    <w:rsid w:val="00263E70"/>
    <w:rsid w:val="0026497B"/>
    <w:rsid w:val="00264A23"/>
    <w:rsid w:val="002654D0"/>
    <w:rsid w:val="00265DAC"/>
    <w:rsid w:val="00267EBB"/>
    <w:rsid w:val="002709F9"/>
    <w:rsid w:val="002711CE"/>
    <w:rsid w:val="002711DF"/>
    <w:rsid w:val="00271211"/>
    <w:rsid w:val="0027136A"/>
    <w:rsid w:val="002714EB"/>
    <w:rsid w:val="00271977"/>
    <w:rsid w:val="00272C02"/>
    <w:rsid w:val="00275D3A"/>
    <w:rsid w:val="00276596"/>
    <w:rsid w:val="0028007D"/>
    <w:rsid w:val="00281065"/>
    <w:rsid w:val="002828CA"/>
    <w:rsid w:val="00284A61"/>
    <w:rsid w:val="00285690"/>
    <w:rsid w:val="00285821"/>
    <w:rsid w:val="002910BD"/>
    <w:rsid w:val="002910C7"/>
    <w:rsid w:val="00292112"/>
    <w:rsid w:val="00294786"/>
    <w:rsid w:val="00294B40"/>
    <w:rsid w:val="002962F0"/>
    <w:rsid w:val="00296DFD"/>
    <w:rsid w:val="00296E47"/>
    <w:rsid w:val="002970AB"/>
    <w:rsid w:val="002971BB"/>
    <w:rsid w:val="00297E0A"/>
    <w:rsid w:val="002A19D2"/>
    <w:rsid w:val="002A21A0"/>
    <w:rsid w:val="002A329D"/>
    <w:rsid w:val="002A3AFD"/>
    <w:rsid w:val="002A479D"/>
    <w:rsid w:val="002A64B8"/>
    <w:rsid w:val="002A7E7B"/>
    <w:rsid w:val="002B0032"/>
    <w:rsid w:val="002B10A4"/>
    <w:rsid w:val="002B168A"/>
    <w:rsid w:val="002B2ABD"/>
    <w:rsid w:val="002B3BFA"/>
    <w:rsid w:val="002B3F7E"/>
    <w:rsid w:val="002B484C"/>
    <w:rsid w:val="002C0502"/>
    <w:rsid w:val="002C12BB"/>
    <w:rsid w:val="002C1625"/>
    <w:rsid w:val="002C2319"/>
    <w:rsid w:val="002C29AA"/>
    <w:rsid w:val="002C2C13"/>
    <w:rsid w:val="002C3309"/>
    <w:rsid w:val="002C359E"/>
    <w:rsid w:val="002C3B74"/>
    <w:rsid w:val="002C3F5C"/>
    <w:rsid w:val="002C4389"/>
    <w:rsid w:val="002C438F"/>
    <w:rsid w:val="002C4DD0"/>
    <w:rsid w:val="002C69B6"/>
    <w:rsid w:val="002C6A8F"/>
    <w:rsid w:val="002C6D32"/>
    <w:rsid w:val="002C77BC"/>
    <w:rsid w:val="002C7F34"/>
    <w:rsid w:val="002D0775"/>
    <w:rsid w:val="002D2BFD"/>
    <w:rsid w:val="002D2C0E"/>
    <w:rsid w:val="002D3B58"/>
    <w:rsid w:val="002D3B67"/>
    <w:rsid w:val="002D5C67"/>
    <w:rsid w:val="002D7900"/>
    <w:rsid w:val="002E0769"/>
    <w:rsid w:val="002E0D10"/>
    <w:rsid w:val="002E11E7"/>
    <w:rsid w:val="002E1406"/>
    <w:rsid w:val="002E1B8C"/>
    <w:rsid w:val="002E1F92"/>
    <w:rsid w:val="002E200C"/>
    <w:rsid w:val="002E2B5D"/>
    <w:rsid w:val="002E3D2E"/>
    <w:rsid w:val="002E4A52"/>
    <w:rsid w:val="002E4CC8"/>
    <w:rsid w:val="002E4D60"/>
    <w:rsid w:val="002E58C0"/>
    <w:rsid w:val="002E7036"/>
    <w:rsid w:val="002E7D23"/>
    <w:rsid w:val="002F04E4"/>
    <w:rsid w:val="002F0532"/>
    <w:rsid w:val="002F1AB3"/>
    <w:rsid w:val="002F4151"/>
    <w:rsid w:val="002F5B69"/>
    <w:rsid w:val="002F623E"/>
    <w:rsid w:val="002F6B19"/>
    <w:rsid w:val="002F785C"/>
    <w:rsid w:val="002F7B53"/>
    <w:rsid w:val="002F7F54"/>
    <w:rsid w:val="00300D90"/>
    <w:rsid w:val="00301462"/>
    <w:rsid w:val="00302ADA"/>
    <w:rsid w:val="00303615"/>
    <w:rsid w:val="003038F7"/>
    <w:rsid w:val="00303C29"/>
    <w:rsid w:val="0030469D"/>
    <w:rsid w:val="00304E8F"/>
    <w:rsid w:val="003053A8"/>
    <w:rsid w:val="00305B7F"/>
    <w:rsid w:val="00305CEA"/>
    <w:rsid w:val="00310CCF"/>
    <w:rsid w:val="00311AE9"/>
    <w:rsid w:val="0031425F"/>
    <w:rsid w:val="003144EC"/>
    <w:rsid w:val="0031497A"/>
    <w:rsid w:val="00315B87"/>
    <w:rsid w:val="003165EA"/>
    <w:rsid w:val="0031698F"/>
    <w:rsid w:val="0032159E"/>
    <w:rsid w:val="003217F4"/>
    <w:rsid w:val="00322321"/>
    <w:rsid w:val="00323078"/>
    <w:rsid w:val="00323693"/>
    <w:rsid w:val="003245BA"/>
    <w:rsid w:val="003252A7"/>
    <w:rsid w:val="00325B6B"/>
    <w:rsid w:val="0032716D"/>
    <w:rsid w:val="00327395"/>
    <w:rsid w:val="003278FF"/>
    <w:rsid w:val="00327AA6"/>
    <w:rsid w:val="003309A6"/>
    <w:rsid w:val="00330C06"/>
    <w:rsid w:val="00330CC8"/>
    <w:rsid w:val="0033103B"/>
    <w:rsid w:val="0033185C"/>
    <w:rsid w:val="003326EA"/>
    <w:rsid w:val="00332A37"/>
    <w:rsid w:val="0033439B"/>
    <w:rsid w:val="00334BEA"/>
    <w:rsid w:val="003352CC"/>
    <w:rsid w:val="0033665B"/>
    <w:rsid w:val="00337A40"/>
    <w:rsid w:val="00337C02"/>
    <w:rsid w:val="00337D15"/>
    <w:rsid w:val="00342217"/>
    <w:rsid w:val="003427BD"/>
    <w:rsid w:val="00342E50"/>
    <w:rsid w:val="00343D1C"/>
    <w:rsid w:val="00343D80"/>
    <w:rsid w:val="00345E3D"/>
    <w:rsid w:val="003463AC"/>
    <w:rsid w:val="00347860"/>
    <w:rsid w:val="00350FDE"/>
    <w:rsid w:val="0035111E"/>
    <w:rsid w:val="00351322"/>
    <w:rsid w:val="0035180D"/>
    <w:rsid w:val="00353065"/>
    <w:rsid w:val="00353330"/>
    <w:rsid w:val="00354D30"/>
    <w:rsid w:val="00354DC8"/>
    <w:rsid w:val="00354E24"/>
    <w:rsid w:val="0035503C"/>
    <w:rsid w:val="00357975"/>
    <w:rsid w:val="00357F3E"/>
    <w:rsid w:val="00360C40"/>
    <w:rsid w:val="003619BA"/>
    <w:rsid w:val="00362006"/>
    <w:rsid w:val="0036219B"/>
    <w:rsid w:val="00362CDF"/>
    <w:rsid w:val="0036390C"/>
    <w:rsid w:val="003644CB"/>
    <w:rsid w:val="00364BFC"/>
    <w:rsid w:val="00364F8B"/>
    <w:rsid w:val="00365AAF"/>
    <w:rsid w:val="00365BB1"/>
    <w:rsid w:val="00366517"/>
    <w:rsid w:val="0036674D"/>
    <w:rsid w:val="00367DDE"/>
    <w:rsid w:val="00367E07"/>
    <w:rsid w:val="00370D36"/>
    <w:rsid w:val="00371314"/>
    <w:rsid w:val="003718F1"/>
    <w:rsid w:val="00371E24"/>
    <w:rsid w:val="0037228E"/>
    <w:rsid w:val="00372ECA"/>
    <w:rsid w:val="00372FCB"/>
    <w:rsid w:val="003732E4"/>
    <w:rsid w:val="003734AA"/>
    <w:rsid w:val="003743FF"/>
    <w:rsid w:val="00374961"/>
    <w:rsid w:val="00376909"/>
    <w:rsid w:val="00380594"/>
    <w:rsid w:val="00380DB0"/>
    <w:rsid w:val="003836F7"/>
    <w:rsid w:val="0038540C"/>
    <w:rsid w:val="00385937"/>
    <w:rsid w:val="00385D75"/>
    <w:rsid w:val="003863B3"/>
    <w:rsid w:val="0038699F"/>
    <w:rsid w:val="00387027"/>
    <w:rsid w:val="00387801"/>
    <w:rsid w:val="00387D16"/>
    <w:rsid w:val="00387F1D"/>
    <w:rsid w:val="00390219"/>
    <w:rsid w:val="0039092D"/>
    <w:rsid w:val="003911DE"/>
    <w:rsid w:val="00391275"/>
    <w:rsid w:val="00392275"/>
    <w:rsid w:val="003928C9"/>
    <w:rsid w:val="00392A69"/>
    <w:rsid w:val="00392D16"/>
    <w:rsid w:val="0039346D"/>
    <w:rsid w:val="003936E5"/>
    <w:rsid w:val="00394FA8"/>
    <w:rsid w:val="00395098"/>
    <w:rsid w:val="003952B8"/>
    <w:rsid w:val="00395E14"/>
    <w:rsid w:val="003963D5"/>
    <w:rsid w:val="00396632"/>
    <w:rsid w:val="0039686A"/>
    <w:rsid w:val="00396DF9"/>
    <w:rsid w:val="0039771C"/>
    <w:rsid w:val="003A034D"/>
    <w:rsid w:val="003A148B"/>
    <w:rsid w:val="003A3250"/>
    <w:rsid w:val="003A3691"/>
    <w:rsid w:val="003A36BE"/>
    <w:rsid w:val="003A3C1D"/>
    <w:rsid w:val="003A4A62"/>
    <w:rsid w:val="003A578E"/>
    <w:rsid w:val="003A7CDE"/>
    <w:rsid w:val="003B0D84"/>
    <w:rsid w:val="003B1784"/>
    <w:rsid w:val="003B2971"/>
    <w:rsid w:val="003B323E"/>
    <w:rsid w:val="003B3997"/>
    <w:rsid w:val="003B3B1D"/>
    <w:rsid w:val="003B484E"/>
    <w:rsid w:val="003B5693"/>
    <w:rsid w:val="003B56A1"/>
    <w:rsid w:val="003B58E8"/>
    <w:rsid w:val="003B5B3D"/>
    <w:rsid w:val="003B6959"/>
    <w:rsid w:val="003B7349"/>
    <w:rsid w:val="003B7575"/>
    <w:rsid w:val="003C0345"/>
    <w:rsid w:val="003C0C04"/>
    <w:rsid w:val="003C177D"/>
    <w:rsid w:val="003C183B"/>
    <w:rsid w:val="003C1BB5"/>
    <w:rsid w:val="003C2844"/>
    <w:rsid w:val="003C3231"/>
    <w:rsid w:val="003C3D74"/>
    <w:rsid w:val="003C75E7"/>
    <w:rsid w:val="003D01BB"/>
    <w:rsid w:val="003D0E67"/>
    <w:rsid w:val="003D1378"/>
    <w:rsid w:val="003D179F"/>
    <w:rsid w:val="003D1CFE"/>
    <w:rsid w:val="003D2A08"/>
    <w:rsid w:val="003D2B22"/>
    <w:rsid w:val="003D2CF3"/>
    <w:rsid w:val="003D3267"/>
    <w:rsid w:val="003D3391"/>
    <w:rsid w:val="003D46EB"/>
    <w:rsid w:val="003D4A21"/>
    <w:rsid w:val="003D4B11"/>
    <w:rsid w:val="003D4C48"/>
    <w:rsid w:val="003D5698"/>
    <w:rsid w:val="003D5AD0"/>
    <w:rsid w:val="003D5EEF"/>
    <w:rsid w:val="003D64A4"/>
    <w:rsid w:val="003D6898"/>
    <w:rsid w:val="003D69B0"/>
    <w:rsid w:val="003D6F0F"/>
    <w:rsid w:val="003D7B68"/>
    <w:rsid w:val="003E005F"/>
    <w:rsid w:val="003E2340"/>
    <w:rsid w:val="003E287D"/>
    <w:rsid w:val="003E2F50"/>
    <w:rsid w:val="003E39B9"/>
    <w:rsid w:val="003E41A6"/>
    <w:rsid w:val="003E563C"/>
    <w:rsid w:val="003E5EFB"/>
    <w:rsid w:val="003E60C5"/>
    <w:rsid w:val="003E71FB"/>
    <w:rsid w:val="003F0BFE"/>
    <w:rsid w:val="003F1C69"/>
    <w:rsid w:val="003F2265"/>
    <w:rsid w:val="003F2C8F"/>
    <w:rsid w:val="003F3F09"/>
    <w:rsid w:val="003F4220"/>
    <w:rsid w:val="003F565B"/>
    <w:rsid w:val="003F62C6"/>
    <w:rsid w:val="003F6533"/>
    <w:rsid w:val="003F699D"/>
    <w:rsid w:val="003F72D2"/>
    <w:rsid w:val="003F73D7"/>
    <w:rsid w:val="00400797"/>
    <w:rsid w:val="00401830"/>
    <w:rsid w:val="004037DF"/>
    <w:rsid w:val="00404CA6"/>
    <w:rsid w:val="0040676C"/>
    <w:rsid w:val="0040687C"/>
    <w:rsid w:val="00407487"/>
    <w:rsid w:val="004124DC"/>
    <w:rsid w:val="00414D71"/>
    <w:rsid w:val="004150CC"/>
    <w:rsid w:val="004159A6"/>
    <w:rsid w:val="00415EAB"/>
    <w:rsid w:val="004164DA"/>
    <w:rsid w:val="00416DAE"/>
    <w:rsid w:val="00417026"/>
    <w:rsid w:val="004174F0"/>
    <w:rsid w:val="00417D2F"/>
    <w:rsid w:val="004206FC"/>
    <w:rsid w:val="0042296F"/>
    <w:rsid w:val="00423F8A"/>
    <w:rsid w:val="00425382"/>
    <w:rsid w:val="00427100"/>
    <w:rsid w:val="00427D5F"/>
    <w:rsid w:val="00430394"/>
    <w:rsid w:val="00430D1D"/>
    <w:rsid w:val="00431E55"/>
    <w:rsid w:val="004320B9"/>
    <w:rsid w:val="004342AF"/>
    <w:rsid w:val="004352E8"/>
    <w:rsid w:val="004354C2"/>
    <w:rsid w:val="00435BB8"/>
    <w:rsid w:val="00435D6E"/>
    <w:rsid w:val="004363AD"/>
    <w:rsid w:val="004369D1"/>
    <w:rsid w:val="004404BA"/>
    <w:rsid w:val="00441207"/>
    <w:rsid w:val="00441438"/>
    <w:rsid w:val="0044162E"/>
    <w:rsid w:val="00442A5B"/>
    <w:rsid w:val="00442DE6"/>
    <w:rsid w:val="00443185"/>
    <w:rsid w:val="00444022"/>
    <w:rsid w:val="0044433A"/>
    <w:rsid w:val="004467DE"/>
    <w:rsid w:val="004473AD"/>
    <w:rsid w:val="00447B4E"/>
    <w:rsid w:val="00447ED8"/>
    <w:rsid w:val="004510A4"/>
    <w:rsid w:val="004510D7"/>
    <w:rsid w:val="00452841"/>
    <w:rsid w:val="00454105"/>
    <w:rsid w:val="00455213"/>
    <w:rsid w:val="004567CC"/>
    <w:rsid w:val="00456C35"/>
    <w:rsid w:val="0045760F"/>
    <w:rsid w:val="00457E7C"/>
    <w:rsid w:val="00461376"/>
    <w:rsid w:val="004613B1"/>
    <w:rsid w:val="00462F40"/>
    <w:rsid w:val="004641E6"/>
    <w:rsid w:val="0046495A"/>
    <w:rsid w:val="00464EF7"/>
    <w:rsid w:val="00465F13"/>
    <w:rsid w:val="00467833"/>
    <w:rsid w:val="00471425"/>
    <w:rsid w:val="0047221A"/>
    <w:rsid w:val="0047283C"/>
    <w:rsid w:val="00472E42"/>
    <w:rsid w:val="00473404"/>
    <w:rsid w:val="0047341C"/>
    <w:rsid w:val="004748D3"/>
    <w:rsid w:val="00475555"/>
    <w:rsid w:val="004756DD"/>
    <w:rsid w:val="0047589F"/>
    <w:rsid w:val="00475DA5"/>
    <w:rsid w:val="004760EB"/>
    <w:rsid w:val="0047768C"/>
    <w:rsid w:val="004800B9"/>
    <w:rsid w:val="00480462"/>
    <w:rsid w:val="0048167C"/>
    <w:rsid w:val="004825FF"/>
    <w:rsid w:val="00483226"/>
    <w:rsid w:val="00483A96"/>
    <w:rsid w:val="00483F0D"/>
    <w:rsid w:val="00483FA8"/>
    <w:rsid w:val="00484220"/>
    <w:rsid w:val="004845AA"/>
    <w:rsid w:val="00485790"/>
    <w:rsid w:val="00486B0E"/>
    <w:rsid w:val="00490D47"/>
    <w:rsid w:val="00490EDD"/>
    <w:rsid w:val="00493B66"/>
    <w:rsid w:val="00495B5E"/>
    <w:rsid w:val="00496F98"/>
    <w:rsid w:val="00497DDF"/>
    <w:rsid w:val="004A007E"/>
    <w:rsid w:val="004A0ADE"/>
    <w:rsid w:val="004A0F12"/>
    <w:rsid w:val="004A1BD0"/>
    <w:rsid w:val="004A3414"/>
    <w:rsid w:val="004A4598"/>
    <w:rsid w:val="004A45E1"/>
    <w:rsid w:val="004B1C21"/>
    <w:rsid w:val="004B1C73"/>
    <w:rsid w:val="004B3D49"/>
    <w:rsid w:val="004B438F"/>
    <w:rsid w:val="004B4A9A"/>
    <w:rsid w:val="004B4AE0"/>
    <w:rsid w:val="004B4AF9"/>
    <w:rsid w:val="004B51F0"/>
    <w:rsid w:val="004C15A0"/>
    <w:rsid w:val="004C1C60"/>
    <w:rsid w:val="004C2059"/>
    <w:rsid w:val="004C38B7"/>
    <w:rsid w:val="004C46F8"/>
    <w:rsid w:val="004C4FDC"/>
    <w:rsid w:val="004C5AF9"/>
    <w:rsid w:val="004C5BC5"/>
    <w:rsid w:val="004C765A"/>
    <w:rsid w:val="004D1172"/>
    <w:rsid w:val="004D1A71"/>
    <w:rsid w:val="004D3176"/>
    <w:rsid w:val="004D3FFE"/>
    <w:rsid w:val="004D6DC6"/>
    <w:rsid w:val="004D78A5"/>
    <w:rsid w:val="004D7CF4"/>
    <w:rsid w:val="004E496F"/>
    <w:rsid w:val="004E4C21"/>
    <w:rsid w:val="004E5E1E"/>
    <w:rsid w:val="004E6DDE"/>
    <w:rsid w:val="004F0A33"/>
    <w:rsid w:val="004F0D4D"/>
    <w:rsid w:val="004F0EDA"/>
    <w:rsid w:val="004F0FE0"/>
    <w:rsid w:val="004F16D1"/>
    <w:rsid w:val="004F19E3"/>
    <w:rsid w:val="004F2081"/>
    <w:rsid w:val="004F3378"/>
    <w:rsid w:val="004F37F4"/>
    <w:rsid w:val="004F4015"/>
    <w:rsid w:val="004F429D"/>
    <w:rsid w:val="004F4757"/>
    <w:rsid w:val="004F4A8F"/>
    <w:rsid w:val="004F4ED0"/>
    <w:rsid w:val="004F541E"/>
    <w:rsid w:val="004F6826"/>
    <w:rsid w:val="004F6F04"/>
    <w:rsid w:val="004F75F1"/>
    <w:rsid w:val="004F79F2"/>
    <w:rsid w:val="00500583"/>
    <w:rsid w:val="005017F7"/>
    <w:rsid w:val="00502980"/>
    <w:rsid w:val="00504037"/>
    <w:rsid w:val="00504839"/>
    <w:rsid w:val="005048C1"/>
    <w:rsid w:val="00504A4A"/>
    <w:rsid w:val="00505683"/>
    <w:rsid w:val="00505F4F"/>
    <w:rsid w:val="00506527"/>
    <w:rsid w:val="005067BD"/>
    <w:rsid w:val="00506C81"/>
    <w:rsid w:val="00507EF2"/>
    <w:rsid w:val="00510347"/>
    <w:rsid w:val="005118D3"/>
    <w:rsid w:val="00512DB9"/>
    <w:rsid w:val="00513035"/>
    <w:rsid w:val="00514132"/>
    <w:rsid w:val="005152B8"/>
    <w:rsid w:val="00515339"/>
    <w:rsid w:val="005155C9"/>
    <w:rsid w:val="005159CC"/>
    <w:rsid w:val="0051670E"/>
    <w:rsid w:val="00516791"/>
    <w:rsid w:val="00516DE9"/>
    <w:rsid w:val="00517197"/>
    <w:rsid w:val="00521359"/>
    <w:rsid w:val="00522FAF"/>
    <w:rsid w:val="005237E1"/>
    <w:rsid w:val="00523DFB"/>
    <w:rsid w:val="00523E31"/>
    <w:rsid w:val="005251DA"/>
    <w:rsid w:val="00526DAA"/>
    <w:rsid w:val="00527D8C"/>
    <w:rsid w:val="005301AB"/>
    <w:rsid w:val="0053070D"/>
    <w:rsid w:val="00530ED0"/>
    <w:rsid w:val="0053150C"/>
    <w:rsid w:val="00531876"/>
    <w:rsid w:val="00531B27"/>
    <w:rsid w:val="00532D53"/>
    <w:rsid w:val="005345C2"/>
    <w:rsid w:val="00535E23"/>
    <w:rsid w:val="005363DA"/>
    <w:rsid w:val="005364F3"/>
    <w:rsid w:val="0053654C"/>
    <w:rsid w:val="005375F8"/>
    <w:rsid w:val="00537CEF"/>
    <w:rsid w:val="005422CF"/>
    <w:rsid w:val="0054488D"/>
    <w:rsid w:val="005451AD"/>
    <w:rsid w:val="005456B4"/>
    <w:rsid w:val="00546937"/>
    <w:rsid w:val="0054734D"/>
    <w:rsid w:val="00547957"/>
    <w:rsid w:val="00551FDF"/>
    <w:rsid w:val="00552C9E"/>
    <w:rsid w:val="00552D54"/>
    <w:rsid w:val="00554682"/>
    <w:rsid w:val="0055583A"/>
    <w:rsid w:val="00555B27"/>
    <w:rsid w:val="00555DB4"/>
    <w:rsid w:val="00556078"/>
    <w:rsid w:val="005603A0"/>
    <w:rsid w:val="0056112A"/>
    <w:rsid w:val="005619B2"/>
    <w:rsid w:val="00562F57"/>
    <w:rsid w:val="00562F7C"/>
    <w:rsid w:val="005651CA"/>
    <w:rsid w:val="0056534E"/>
    <w:rsid w:val="00565937"/>
    <w:rsid w:val="00565C33"/>
    <w:rsid w:val="00565F3B"/>
    <w:rsid w:val="00566476"/>
    <w:rsid w:val="0056667B"/>
    <w:rsid w:val="00566722"/>
    <w:rsid w:val="0057204D"/>
    <w:rsid w:val="00572F90"/>
    <w:rsid w:val="005734D2"/>
    <w:rsid w:val="00573B0B"/>
    <w:rsid w:val="00573FC8"/>
    <w:rsid w:val="00574177"/>
    <w:rsid w:val="0057442F"/>
    <w:rsid w:val="00574D29"/>
    <w:rsid w:val="00574F93"/>
    <w:rsid w:val="00576B94"/>
    <w:rsid w:val="00580E8E"/>
    <w:rsid w:val="00582D29"/>
    <w:rsid w:val="00585DA0"/>
    <w:rsid w:val="005866C9"/>
    <w:rsid w:val="00586A3B"/>
    <w:rsid w:val="005873C9"/>
    <w:rsid w:val="005878B5"/>
    <w:rsid w:val="005900F0"/>
    <w:rsid w:val="00590D94"/>
    <w:rsid w:val="00591453"/>
    <w:rsid w:val="0059173B"/>
    <w:rsid w:val="00591F3F"/>
    <w:rsid w:val="00592CA6"/>
    <w:rsid w:val="00593E09"/>
    <w:rsid w:val="0059551D"/>
    <w:rsid w:val="00596231"/>
    <w:rsid w:val="0059640F"/>
    <w:rsid w:val="005A010D"/>
    <w:rsid w:val="005A11A0"/>
    <w:rsid w:val="005A1290"/>
    <w:rsid w:val="005A20CF"/>
    <w:rsid w:val="005A4876"/>
    <w:rsid w:val="005A4F75"/>
    <w:rsid w:val="005A534C"/>
    <w:rsid w:val="005A57CC"/>
    <w:rsid w:val="005A66E7"/>
    <w:rsid w:val="005A7291"/>
    <w:rsid w:val="005B154A"/>
    <w:rsid w:val="005B21FC"/>
    <w:rsid w:val="005B3109"/>
    <w:rsid w:val="005B4F31"/>
    <w:rsid w:val="005B5C08"/>
    <w:rsid w:val="005B5CF2"/>
    <w:rsid w:val="005B5DD0"/>
    <w:rsid w:val="005B772D"/>
    <w:rsid w:val="005C0212"/>
    <w:rsid w:val="005C20DE"/>
    <w:rsid w:val="005C30EB"/>
    <w:rsid w:val="005C4933"/>
    <w:rsid w:val="005C4B2E"/>
    <w:rsid w:val="005C6985"/>
    <w:rsid w:val="005C6C17"/>
    <w:rsid w:val="005C6D26"/>
    <w:rsid w:val="005C73F6"/>
    <w:rsid w:val="005C7D7B"/>
    <w:rsid w:val="005D1491"/>
    <w:rsid w:val="005D17E3"/>
    <w:rsid w:val="005D2DB2"/>
    <w:rsid w:val="005D46D1"/>
    <w:rsid w:val="005D57B2"/>
    <w:rsid w:val="005D6EC3"/>
    <w:rsid w:val="005D74BF"/>
    <w:rsid w:val="005D76FC"/>
    <w:rsid w:val="005D78E6"/>
    <w:rsid w:val="005D7ECD"/>
    <w:rsid w:val="005E0301"/>
    <w:rsid w:val="005E09BB"/>
    <w:rsid w:val="005E3BB5"/>
    <w:rsid w:val="005E5CB6"/>
    <w:rsid w:val="005E66B9"/>
    <w:rsid w:val="005E6A0F"/>
    <w:rsid w:val="005E7593"/>
    <w:rsid w:val="005E7BB5"/>
    <w:rsid w:val="005F16FD"/>
    <w:rsid w:val="005F3F41"/>
    <w:rsid w:val="005F413A"/>
    <w:rsid w:val="005F4E3C"/>
    <w:rsid w:val="005F5832"/>
    <w:rsid w:val="005F58C5"/>
    <w:rsid w:val="005F5903"/>
    <w:rsid w:val="005F6922"/>
    <w:rsid w:val="00600460"/>
    <w:rsid w:val="00600B90"/>
    <w:rsid w:val="00601006"/>
    <w:rsid w:val="00601160"/>
    <w:rsid w:val="00602A22"/>
    <w:rsid w:val="00602B7F"/>
    <w:rsid w:val="00603752"/>
    <w:rsid w:val="00603B04"/>
    <w:rsid w:val="00603B24"/>
    <w:rsid w:val="00604543"/>
    <w:rsid w:val="00604B02"/>
    <w:rsid w:val="00604E0E"/>
    <w:rsid w:val="006050B2"/>
    <w:rsid w:val="00606F98"/>
    <w:rsid w:val="006070DA"/>
    <w:rsid w:val="00611CF0"/>
    <w:rsid w:val="006126CD"/>
    <w:rsid w:val="00612AE4"/>
    <w:rsid w:val="00612C5F"/>
    <w:rsid w:val="00613151"/>
    <w:rsid w:val="006131F1"/>
    <w:rsid w:val="0061387D"/>
    <w:rsid w:val="00614AB0"/>
    <w:rsid w:val="00614B45"/>
    <w:rsid w:val="00614E37"/>
    <w:rsid w:val="00614EAC"/>
    <w:rsid w:val="006155AC"/>
    <w:rsid w:val="00616572"/>
    <w:rsid w:val="006167BE"/>
    <w:rsid w:val="0061698C"/>
    <w:rsid w:val="00616F48"/>
    <w:rsid w:val="0061711E"/>
    <w:rsid w:val="006171D8"/>
    <w:rsid w:val="006178AF"/>
    <w:rsid w:val="00620902"/>
    <w:rsid w:val="006210B8"/>
    <w:rsid w:val="006211A4"/>
    <w:rsid w:val="00621AEF"/>
    <w:rsid w:val="006237A3"/>
    <w:rsid w:val="0062387D"/>
    <w:rsid w:val="00623A20"/>
    <w:rsid w:val="00625AE0"/>
    <w:rsid w:val="00626139"/>
    <w:rsid w:val="00626AE9"/>
    <w:rsid w:val="00627525"/>
    <w:rsid w:val="00630024"/>
    <w:rsid w:val="00630173"/>
    <w:rsid w:val="0063021F"/>
    <w:rsid w:val="00630687"/>
    <w:rsid w:val="00630989"/>
    <w:rsid w:val="00630F3B"/>
    <w:rsid w:val="006326A8"/>
    <w:rsid w:val="00632BE4"/>
    <w:rsid w:val="00632D1F"/>
    <w:rsid w:val="00634479"/>
    <w:rsid w:val="0063558E"/>
    <w:rsid w:val="006409C9"/>
    <w:rsid w:val="00641576"/>
    <w:rsid w:val="00641920"/>
    <w:rsid w:val="00641AC8"/>
    <w:rsid w:val="00641D9C"/>
    <w:rsid w:val="00642898"/>
    <w:rsid w:val="006428D9"/>
    <w:rsid w:val="00642974"/>
    <w:rsid w:val="00643D2B"/>
    <w:rsid w:val="00643EBF"/>
    <w:rsid w:val="00644697"/>
    <w:rsid w:val="00644B77"/>
    <w:rsid w:val="00645505"/>
    <w:rsid w:val="0064591B"/>
    <w:rsid w:val="00645C09"/>
    <w:rsid w:val="00647FA0"/>
    <w:rsid w:val="00651997"/>
    <w:rsid w:val="006535B1"/>
    <w:rsid w:val="00654820"/>
    <w:rsid w:val="00657BE3"/>
    <w:rsid w:val="00660094"/>
    <w:rsid w:val="00660CBA"/>
    <w:rsid w:val="0066128B"/>
    <w:rsid w:val="006617F9"/>
    <w:rsid w:val="00661A9C"/>
    <w:rsid w:val="006632DF"/>
    <w:rsid w:val="00663E49"/>
    <w:rsid w:val="00665BD6"/>
    <w:rsid w:val="00666693"/>
    <w:rsid w:val="006676CC"/>
    <w:rsid w:val="00667C22"/>
    <w:rsid w:val="0067147C"/>
    <w:rsid w:val="00671AB6"/>
    <w:rsid w:val="0067415B"/>
    <w:rsid w:val="00674381"/>
    <w:rsid w:val="006746CC"/>
    <w:rsid w:val="006754F7"/>
    <w:rsid w:val="006760B6"/>
    <w:rsid w:val="006760D9"/>
    <w:rsid w:val="006766AA"/>
    <w:rsid w:val="006769FA"/>
    <w:rsid w:val="00676CFB"/>
    <w:rsid w:val="00676E49"/>
    <w:rsid w:val="0067759F"/>
    <w:rsid w:val="00680498"/>
    <w:rsid w:val="00680E80"/>
    <w:rsid w:val="0068192E"/>
    <w:rsid w:val="00681DAE"/>
    <w:rsid w:val="0068259E"/>
    <w:rsid w:val="00683108"/>
    <w:rsid w:val="0068346C"/>
    <w:rsid w:val="00683C1D"/>
    <w:rsid w:val="0068497E"/>
    <w:rsid w:val="006859D1"/>
    <w:rsid w:val="00686397"/>
    <w:rsid w:val="00687F40"/>
    <w:rsid w:val="00687FB5"/>
    <w:rsid w:val="00690832"/>
    <w:rsid w:val="00691658"/>
    <w:rsid w:val="00691DA3"/>
    <w:rsid w:val="00692698"/>
    <w:rsid w:val="00695015"/>
    <w:rsid w:val="006954C5"/>
    <w:rsid w:val="00695A05"/>
    <w:rsid w:val="00695C14"/>
    <w:rsid w:val="00696A22"/>
    <w:rsid w:val="006A07DF"/>
    <w:rsid w:val="006A288C"/>
    <w:rsid w:val="006A3359"/>
    <w:rsid w:val="006A3E30"/>
    <w:rsid w:val="006A41B1"/>
    <w:rsid w:val="006A48EA"/>
    <w:rsid w:val="006A6298"/>
    <w:rsid w:val="006A656F"/>
    <w:rsid w:val="006B04FF"/>
    <w:rsid w:val="006B0F40"/>
    <w:rsid w:val="006B146F"/>
    <w:rsid w:val="006B3EE7"/>
    <w:rsid w:val="006B40C2"/>
    <w:rsid w:val="006B446C"/>
    <w:rsid w:val="006B5754"/>
    <w:rsid w:val="006B5C2B"/>
    <w:rsid w:val="006B68CB"/>
    <w:rsid w:val="006B7137"/>
    <w:rsid w:val="006C02B1"/>
    <w:rsid w:val="006C180B"/>
    <w:rsid w:val="006C1E0D"/>
    <w:rsid w:val="006C2236"/>
    <w:rsid w:val="006C37BD"/>
    <w:rsid w:val="006C3BA9"/>
    <w:rsid w:val="006C4A9F"/>
    <w:rsid w:val="006C4D0E"/>
    <w:rsid w:val="006C5612"/>
    <w:rsid w:val="006C5866"/>
    <w:rsid w:val="006C757C"/>
    <w:rsid w:val="006D079E"/>
    <w:rsid w:val="006D1023"/>
    <w:rsid w:val="006D2F24"/>
    <w:rsid w:val="006D351F"/>
    <w:rsid w:val="006D40EE"/>
    <w:rsid w:val="006D4481"/>
    <w:rsid w:val="006D4682"/>
    <w:rsid w:val="006D5354"/>
    <w:rsid w:val="006D5B51"/>
    <w:rsid w:val="006D604F"/>
    <w:rsid w:val="006D6F07"/>
    <w:rsid w:val="006D7079"/>
    <w:rsid w:val="006D7639"/>
    <w:rsid w:val="006D7EB2"/>
    <w:rsid w:val="006E0732"/>
    <w:rsid w:val="006E1437"/>
    <w:rsid w:val="006E1463"/>
    <w:rsid w:val="006E164A"/>
    <w:rsid w:val="006E222E"/>
    <w:rsid w:val="006E2615"/>
    <w:rsid w:val="006E3227"/>
    <w:rsid w:val="006E3841"/>
    <w:rsid w:val="006E4721"/>
    <w:rsid w:val="006E5128"/>
    <w:rsid w:val="006E5BC4"/>
    <w:rsid w:val="006E7D49"/>
    <w:rsid w:val="006F01DE"/>
    <w:rsid w:val="006F22CB"/>
    <w:rsid w:val="006F22DD"/>
    <w:rsid w:val="006F287E"/>
    <w:rsid w:val="006F2EBE"/>
    <w:rsid w:val="006F3222"/>
    <w:rsid w:val="006F35D6"/>
    <w:rsid w:val="006F393C"/>
    <w:rsid w:val="006F6F75"/>
    <w:rsid w:val="006F7493"/>
    <w:rsid w:val="006F7D7F"/>
    <w:rsid w:val="00700E3B"/>
    <w:rsid w:val="00703890"/>
    <w:rsid w:val="00704444"/>
    <w:rsid w:val="007076BD"/>
    <w:rsid w:val="00710DE6"/>
    <w:rsid w:val="007119E2"/>
    <w:rsid w:val="0071259C"/>
    <w:rsid w:val="00713120"/>
    <w:rsid w:val="007136E3"/>
    <w:rsid w:val="00714754"/>
    <w:rsid w:val="007149CA"/>
    <w:rsid w:val="007157FB"/>
    <w:rsid w:val="00715D95"/>
    <w:rsid w:val="0071712A"/>
    <w:rsid w:val="00717D44"/>
    <w:rsid w:val="00720454"/>
    <w:rsid w:val="00720F09"/>
    <w:rsid w:val="00722E6D"/>
    <w:rsid w:val="007238BF"/>
    <w:rsid w:val="00723C6E"/>
    <w:rsid w:val="00723DF4"/>
    <w:rsid w:val="00725CFD"/>
    <w:rsid w:val="007274D8"/>
    <w:rsid w:val="007279FA"/>
    <w:rsid w:val="0073049C"/>
    <w:rsid w:val="007330FC"/>
    <w:rsid w:val="00734A2F"/>
    <w:rsid w:val="007354F6"/>
    <w:rsid w:val="00735A03"/>
    <w:rsid w:val="007379EC"/>
    <w:rsid w:val="00737B13"/>
    <w:rsid w:val="00741004"/>
    <w:rsid w:val="00741489"/>
    <w:rsid w:val="00741A4C"/>
    <w:rsid w:val="00744AC8"/>
    <w:rsid w:val="00745629"/>
    <w:rsid w:val="00745957"/>
    <w:rsid w:val="0074678C"/>
    <w:rsid w:val="00746E14"/>
    <w:rsid w:val="00746F04"/>
    <w:rsid w:val="00751395"/>
    <w:rsid w:val="007516C3"/>
    <w:rsid w:val="00752258"/>
    <w:rsid w:val="00752762"/>
    <w:rsid w:val="00753F91"/>
    <w:rsid w:val="00754200"/>
    <w:rsid w:val="0075423B"/>
    <w:rsid w:val="007542B0"/>
    <w:rsid w:val="007545B3"/>
    <w:rsid w:val="007547C0"/>
    <w:rsid w:val="0075537F"/>
    <w:rsid w:val="007555F5"/>
    <w:rsid w:val="00756A63"/>
    <w:rsid w:val="00756E57"/>
    <w:rsid w:val="00757A53"/>
    <w:rsid w:val="00757E57"/>
    <w:rsid w:val="00760D1B"/>
    <w:rsid w:val="0076146B"/>
    <w:rsid w:val="007614FA"/>
    <w:rsid w:val="00762119"/>
    <w:rsid w:val="00763393"/>
    <w:rsid w:val="00763BAE"/>
    <w:rsid w:val="007645A8"/>
    <w:rsid w:val="0076659D"/>
    <w:rsid w:val="00770871"/>
    <w:rsid w:val="00770E21"/>
    <w:rsid w:val="00771220"/>
    <w:rsid w:val="00772BAF"/>
    <w:rsid w:val="00773012"/>
    <w:rsid w:val="0077344B"/>
    <w:rsid w:val="007742EE"/>
    <w:rsid w:val="00775A65"/>
    <w:rsid w:val="007760CF"/>
    <w:rsid w:val="007774AB"/>
    <w:rsid w:val="00777B98"/>
    <w:rsid w:val="007811CA"/>
    <w:rsid w:val="00783861"/>
    <w:rsid w:val="00785176"/>
    <w:rsid w:val="00785492"/>
    <w:rsid w:val="00786FC1"/>
    <w:rsid w:val="007874E3"/>
    <w:rsid w:val="00790A54"/>
    <w:rsid w:val="00790F18"/>
    <w:rsid w:val="007912D8"/>
    <w:rsid w:val="0079168D"/>
    <w:rsid w:val="00791813"/>
    <w:rsid w:val="00792A81"/>
    <w:rsid w:val="00792C5E"/>
    <w:rsid w:val="00792EC7"/>
    <w:rsid w:val="00793707"/>
    <w:rsid w:val="007948A7"/>
    <w:rsid w:val="00794AD3"/>
    <w:rsid w:val="0079545F"/>
    <w:rsid w:val="0079631E"/>
    <w:rsid w:val="007964E7"/>
    <w:rsid w:val="00797655"/>
    <w:rsid w:val="007976D8"/>
    <w:rsid w:val="007A0921"/>
    <w:rsid w:val="007A1406"/>
    <w:rsid w:val="007A14BB"/>
    <w:rsid w:val="007A2E09"/>
    <w:rsid w:val="007A3A06"/>
    <w:rsid w:val="007A53F8"/>
    <w:rsid w:val="007A5ADA"/>
    <w:rsid w:val="007A5C34"/>
    <w:rsid w:val="007A5E76"/>
    <w:rsid w:val="007A5F1C"/>
    <w:rsid w:val="007A631B"/>
    <w:rsid w:val="007A6873"/>
    <w:rsid w:val="007A7B19"/>
    <w:rsid w:val="007A7D06"/>
    <w:rsid w:val="007B1481"/>
    <w:rsid w:val="007B1497"/>
    <w:rsid w:val="007B170B"/>
    <w:rsid w:val="007B1921"/>
    <w:rsid w:val="007B24EE"/>
    <w:rsid w:val="007B277B"/>
    <w:rsid w:val="007B3959"/>
    <w:rsid w:val="007B4461"/>
    <w:rsid w:val="007B494D"/>
    <w:rsid w:val="007B53C4"/>
    <w:rsid w:val="007B60BD"/>
    <w:rsid w:val="007B6771"/>
    <w:rsid w:val="007B72D1"/>
    <w:rsid w:val="007B73FD"/>
    <w:rsid w:val="007B758F"/>
    <w:rsid w:val="007C04B0"/>
    <w:rsid w:val="007C2CEB"/>
    <w:rsid w:val="007C33C7"/>
    <w:rsid w:val="007C38ED"/>
    <w:rsid w:val="007C4D08"/>
    <w:rsid w:val="007C5B38"/>
    <w:rsid w:val="007C61CE"/>
    <w:rsid w:val="007C656B"/>
    <w:rsid w:val="007C709A"/>
    <w:rsid w:val="007C7B19"/>
    <w:rsid w:val="007D1027"/>
    <w:rsid w:val="007D1940"/>
    <w:rsid w:val="007D1EAE"/>
    <w:rsid w:val="007D20F9"/>
    <w:rsid w:val="007D33E6"/>
    <w:rsid w:val="007D3C34"/>
    <w:rsid w:val="007D3F4A"/>
    <w:rsid w:val="007D50FD"/>
    <w:rsid w:val="007D6A1A"/>
    <w:rsid w:val="007D706C"/>
    <w:rsid w:val="007D78EB"/>
    <w:rsid w:val="007D7B2A"/>
    <w:rsid w:val="007E1ABF"/>
    <w:rsid w:val="007E1B21"/>
    <w:rsid w:val="007E58D7"/>
    <w:rsid w:val="007E657B"/>
    <w:rsid w:val="007E6CC4"/>
    <w:rsid w:val="007E728A"/>
    <w:rsid w:val="007E7AFF"/>
    <w:rsid w:val="007F1490"/>
    <w:rsid w:val="007F21EF"/>
    <w:rsid w:val="007F2300"/>
    <w:rsid w:val="007F2E0C"/>
    <w:rsid w:val="007F3E03"/>
    <w:rsid w:val="007F4B71"/>
    <w:rsid w:val="007F6122"/>
    <w:rsid w:val="007F6338"/>
    <w:rsid w:val="007F77C7"/>
    <w:rsid w:val="007F7A8E"/>
    <w:rsid w:val="007F7EC2"/>
    <w:rsid w:val="00800720"/>
    <w:rsid w:val="0080148F"/>
    <w:rsid w:val="00801D96"/>
    <w:rsid w:val="00801DF1"/>
    <w:rsid w:val="008027C3"/>
    <w:rsid w:val="00802965"/>
    <w:rsid w:val="0080586A"/>
    <w:rsid w:val="0080596B"/>
    <w:rsid w:val="008064EF"/>
    <w:rsid w:val="00806DDE"/>
    <w:rsid w:val="008079D1"/>
    <w:rsid w:val="00807EB7"/>
    <w:rsid w:val="00810738"/>
    <w:rsid w:val="00810B5B"/>
    <w:rsid w:val="00811518"/>
    <w:rsid w:val="0081414E"/>
    <w:rsid w:val="00814D53"/>
    <w:rsid w:val="008200B8"/>
    <w:rsid w:val="00820935"/>
    <w:rsid w:val="008209CF"/>
    <w:rsid w:val="00820A85"/>
    <w:rsid w:val="00822D01"/>
    <w:rsid w:val="00822D57"/>
    <w:rsid w:val="00823630"/>
    <w:rsid w:val="008251A7"/>
    <w:rsid w:val="008261B0"/>
    <w:rsid w:val="00826D75"/>
    <w:rsid w:val="0082736C"/>
    <w:rsid w:val="0082778B"/>
    <w:rsid w:val="00830D1B"/>
    <w:rsid w:val="00832AC6"/>
    <w:rsid w:val="00832C71"/>
    <w:rsid w:val="00832E3D"/>
    <w:rsid w:val="00833217"/>
    <w:rsid w:val="00833345"/>
    <w:rsid w:val="00833D08"/>
    <w:rsid w:val="00835AB4"/>
    <w:rsid w:val="008375E7"/>
    <w:rsid w:val="00840C06"/>
    <w:rsid w:val="0084104C"/>
    <w:rsid w:val="0084178F"/>
    <w:rsid w:val="00842063"/>
    <w:rsid w:val="0084401C"/>
    <w:rsid w:val="008442A9"/>
    <w:rsid w:val="00844436"/>
    <w:rsid w:val="00844518"/>
    <w:rsid w:val="00844C73"/>
    <w:rsid w:val="00844DF6"/>
    <w:rsid w:val="0084592F"/>
    <w:rsid w:val="00845BB3"/>
    <w:rsid w:val="00845E5C"/>
    <w:rsid w:val="00850499"/>
    <w:rsid w:val="00850B36"/>
    <w:rsid w:val="00852146"/>
    <w:rsid w:val="0085242F"/>
    <w:rsid w:val="00852830"/>
    <w:rsid w:val="00852A0D"/>
    <w:rsid w:val="0085307C"/>
    <w:rsid w:val="00853251"/>
    <w:rsid w:val="00853653"/>
    <w:rsid w:val="00855C17"/>
    <w:rsid w:val="00855F62"/>
    <w:rsid w:val="0085605B"/>
    <w:rsid w:val="00856C14"/>
    <w:rsid w:val="008572D4"/>
    <w:rsid w:val="00862D77"/>
    <w:rsid w:val="00862EB2"/>
    <w:rsid w:val="0086348B"/>
    <w:rsid w:val="00863B1E"/>
    <w:rsid w:val="00863B4E"/>
    <w:rsid w:val="008641EF"/>
    <w:rsid w:val="008650BD"/>
    <w:rsid w:val="00865403"/>
    <w:rsid w:val="00865E00"/>
    <w:rsid w:val="008672AE"/>
    <w:rsid w:val="00867C34"/>
    <w:rsid w:val="00872CA4"/>
    <w:rsid w:val="0087316B"/>
    <w:rsid w:val="0087366B"/>
    <w:rsid w:val="008741A3"/>
    <w:rsid w:val="0087435A"/>
    <w:rsid w:val="008750C8"/>
    <w:rsid w:val="0087622F"/>
    <w:rsid w:val="00877F30"/>
    <w:rsid w:val="0088024F"/>
    <w:rsid w:val="0088137E"/>
    <w:rsid w:val="00881D61"/>
    <w:rsid w:val="00882017"/>
    <w:rsid w:val="0088346D"/>
    <w:rsid w:val="00884167"/>
    <w:rsid w:val="0088579B"/>
    <w:rsid w:val="008857EE"/>
    <w:rsid w:val="008864B6"/>
    <w:rsid w:val="00887331"/>
    <w:rsid w:val="00887FA2"/>
    <w:rsid w:val="00890CB3"/>
    <w:rsid w:val="008923E4"/>
    <w:rsid w:val="00894660"/>
    <w:rsid w:val="00894AA9"/>
    <w:rsid w:val="00894D54"/>
    <w:rsid w:val="00895076"/>
    <w:rsid w:val="00895194"/>
    <w:rsid w:val="0089562B"/>
    <w:rsid w:val="00895C48"/>
    <w:rsid w:val="0089690E"/>
    <w:rsid w:val="00897795"/>
    <w:rsid w:val="00897D50"/>
    <w:rsid w:val="008A0E77"/>
    <w:rsid w:val="008A1356"/>
    <w:rsid w:val="008A25C2"/>
    <w:rsid w:val="008A27DB"/>
    <w:rsid w:val="008A3043"/>
    <w:rsid w:val="008A3345"/>
    <w:rsid w:val="008A3A29"/>
    <w:rsid w:val="008A3EA8"/>
    <w:rsid w:val="008A41C8"/>
    <w:rsid w:val="008A7214"/>
    <w:rsid w:val="008A7B41"/>
    <w:rsid w:val="008B042B"/>
    <w:rsid w:val="008B047B"/>
    <w:rsid w:val="008B0574"/>
    <w:rsid w:val="008B1170"/>
    <w:rsid w:val="008B1634"/>
    <w:rsid w:val="008B2300"/>
    <w:rsid w:val="008B27F1"/>
    <w:rsid w:val="008B2E33"/>
    <w:rsid w:val="008B349B"/>
    <w:rsid w:val="008B48B8"/>
    <w:rsid w:val="008B4EDE"/>
    <w:rsid w:val="008B6119"/>
    <w:rsid w:val="008B699B"/>
    <w:rsid w:val="008B6A62"/>
    <w:rsid w:val="008B6D65"/>
    <w:rsid w:val="008C0E0A"/>
    <w:rsid w:val="008C189D"/>
    <w:rsid w:val="008C2299"/>
    <w:rsid w:val="008C2379"/>
    <w:rsid w:val="008C37F6"/>
    <w:rsid w:val="008C3921"/>
    <w:rsid w:val="008C4F6B"/>
    <w:rsid w:val="008C6142"/>
    <w:rsid w:val="008C7702"/>
    <w:rsid w:val="008D0C3C"/>
    <w:rsid w:val="008D1316"/>
    <w:rsid w:val="008D1EDA"/>
    <w:rsid w:val="008D2442"/>
    <w:rsid w:val="008D2D70"/>
    <w:rsid w:val="008D38E4"/>
    <w:rsid w:val="008D3EB6"/>
    <w:rsid w:val="008D4E07"/>
    <w:rsid w:val="008D513D"/>
    <w:rsid w:val="008D7907"/>
    <w:rsid w:val="008D7EAB"/>
    <w:rsid w:val="008D7EF6"/>
    <w:rsid w:val="008E02E1"/>
    <w:rsid w:val="008E2135"/>
    <w:rsid w:val="008E4620"/>
    <w:rsid w:val="008E544A"/>
    <w:rsid w:val="008E7064"/>
    <w:rsid w:val="008E7215"/>
    <w:rsid w:val="008E72F4"/>
    <w:rsid w:val="008E7B49"/>
    <w:rsid w:val="008F079F"/>
    <w:rsid w:val="008F228A"/>
    <w:rsid w:val="008F2751"/>
    <w:rsid w:val="008F3A6D"/>
    <w:rsid w:val="008F3E5F"/>
    <w:rsid w:val="008F410E"/>
    <w:rsid w:val="008F42A8"/>
    <w:rsid w:val="008F457D"/>
    <w:rsid w:val="008F5122"/>
    <w:rsid w:val="008F58DF"/>
    <w:rsid w:val="008F6BAC"/>
    <w:rsid w:val="008F6CCA"/>
    <w:rsid w:val="008F6EF4"/>
    <w:rsid w:val="0090049E"/>
    <w:rsid w:val="00900EB2"/>
    <w:rsid w:val="009014BA"/>
    <w:rsid w:val="00901E5E"/>
    <w:rsid w:val="00901F57"/>
    <w:rsid w:val="00902E85"/>
    <w:rsid w:val="00903055"/>
    <w:rsid w:val="009031A8"/>
    <w:rsid w:val="0090339E"/>
    <w:rsid w:val="00903BAC"/>
    <w:rsid w:val="00903CAF"/>
    <w:rsid w:val="0090539F"/>
    <w:rsid w:val="00906CC1"/>
    <w:rsid w:val="009108CC"/>
    <w:rsid w:val="00910B36"/>
    <w:rsid w:val="00910BE5"/>
    <w:rsid w:val="009114FE"/>
    <w:rsid w:val="009119CC"/>
    <w:rsid w:val="009130B9"/>
    <w:rsid w:val="009133C3"/>
    <w:rsid w:val="00913C69"/>
    <w:rsid w:val="00914982"/>
    <w:rsid w:val="00914F95"/>
    <w:rsid w:val="00915CF7"/>
    <w:rsid w:val="00917780"/>
    <w:rsid w:val="00917F0E"/>
    <w:rsid w:val="00920436"/>
    <w:rsid w:val="00920B9C"/>
    <w:rsid w:val="00921501"/>
    <w:rsid w:val="00921A3A"/>
    <w:rsid w:val="00922357"/>
    <w:rsid w:val="009232F5"/>
    <w:rsid w:val="0092469C"/>
    <w:rsid w:val="0092475D"/>
    <w:rsid w:val="00925310"/>
    <w:rsid w:val="0092555B"/>
    <w:rsid w:val="00926DD4"/>
    <w:rsid w:val="00927B51"/>
    <w:rsid w:val="009303B1"/>
    <w:rsid w:val="009305EE"/>
    <w:rsid w:val="009307D5"/>
    <w:rsid w:val="00933152"/>
    <w:rsid w:val="00933190"/>
    <w:rsid w:val="00933B0F"/>
    <w:rsid w:val="00934BBB"/>
    <w:rsid w:val="00934CA2"/>
    <w:rsid w:val="00937115"/>
    <w:rsid w:val="00941E5B"/>
    <w:rsid w:val="00942579"/>
    <w:rsid w:val="00943152"/>
    <w:rsid w:val="009435B2"/>
    <w:rsid w:val="00944E49"/>
    <w:rsid w:val="009459AB"/>
    <w:rsid w:val="009467F7"/>
    <w:rsid w:val="00947BE9"/>
    <w:rsid w:val="0095015C"/>
    <w:rsid w:val="009512DE"/>
    <w:rsid w:val="009517D6"/>
    <w:rsid w:val="00951965"/>
    <w:rsid w:val="00951D6C"/>
    <w:rsid w:val="00952E77"/>
    <w:rsid w:val="00952F29"/>
    <w:rsid w:val="00953573"/>
    <w:rsid w:val="00953E59"/>
    <w:rsid w:val="00954A3F"/>
    <w:rsid w:val="00954DEA"/>
    <w:rsid w:val="00955983"/>
    <w:rsid w:val="00956047"/>
    <w:rsid w:val="009564F7"/>
    <w:rsid w:val="009566A7"/>
    <w:rsid w:val="00957438"/>
    <w:rsid w:val="00957602"/>
    <w:rsid w:val="00957709"/>
    <w:rsid w:val="00957D80"/>
    <w:rsid w:val="00961518"/>
    <w:rsid w:val="00963352"/>
    <w:rsid w:val="00965325"/>
    <w:rsid w:val="00970788"/>
    <w:rsid w:val="00975221"/>
    <w:rsid w:val="00976513"/>
    <w:rsid w:val="00976F25"/>
    <w:rsid w:val="00976F2F"/>
    <w:rsid w:val="009774EA"/>
    <w:rsid w:val="0098051F"/>
    <w:rsid w:val="00981B9D"/>
    <w:rsid w:val="00982858"/>
    <w:rsid w:val="00983535"/>
    <w:rsid w:val="00983CE7"/>
    <w:rsid w:val="00983EC4"/>
    <w:rsid w:val="00983FCB"/>
    <w:rsid w:val="0098434E"/>
    <w:rsid w:val="00985CAD"/>
    <w:rsid w:val="0098600A"/>
    <w:rsid w:val="0098657F"/>
    <w:rsid w:val="0098663F"/>
    <w:rsid w:val="00986FB3"/>
    <w:rsid w:val="0098738F"/>
    <w:rsid w:val="00987502"/>
    <w:rsid w:val="00987E1D"/>
    <w:rsid w:val="00990F29"/>
    <w:rsid w:val="00992350"/>
    <w:rsid w:val="00992A34"/>
    <w:rsid w:val="00992ECB"/>
    <w:rsid w:val="00993D5D"/>
    <w:rsid w:val="009944AC"/>
    <w:rsid w:val="00994755"/>
    <w:rsid w:val="009948D0"/>
    <w:rsid w:val="00994C0D"/>
    <w:rsid w:val="00995476"/>
    <w:rsid w:val="00996549"/>
    <w:rsid w:val="00996D38"/>
    <w:rsid w:val="009A053F"/>
    <w:rsid w:val="009A0A87"/>
    <w:rsid w:val="009A0FB4"/>
    <w:rsid w:val="009A18C0"/>
    <w:rsid w:val="009A195C"/>
    <w:rsid w:val="009A496E"/>
    <w:rsid w:val="009A6048"/>
    <w:rsid w:val="009A6D8F"/>
    <w:rsid w:val="009B1726"/>
    <w:rsid w:val="009B1862"/>
    <w:rsid w:val="009B2B12"/>
    <w:rsid w:val="009B4BA3"/>
    <w:rsid w:val="009B4F03"/>
    <w:rsid w:val="009B52E2"/>
    <w:rsid w:val="009B613F"/>
    <w:rsid w:val="009B6D23"/>
    <w:rsid w:val="009C0075"/>
    <w:rsid w:val="009C068C"/>
    <w:rsid w:val="009C1227"/>
    <w:rsid w:val="009C2B53"/>
    <w:rsid w:val="009C3A17"/>
    <w:rsid w:val="009C47CC"/>
    <w:rsid w:val="009C66D2"/>
    <w:rsid w:val="009C782B"/>
    <w:rsid w:val="009C78F5"/>
    <w:rsid w:val="009D08E1"/>
    <w:rsid w:val="009D120C"/>
    <w:rsid w:val="009D12DA"/>
    <w:rsid w:val="009D1A71"/>
    <w:rsid w:val="009D220F"/>
    <w:rsid w:val="009D227F"/>
    <w:rsid w:val="009D322F"/>
    <w:rsid w:val="009D393F"/>
    <w:rsid w:val="009D4CDA"/>
    <w:rsid w:val="009D55AE"/>
    <w:rsid w:val="009D6357"/>
    <w:rsid w:val="009D6800"/>
    <w:rsid w:val="009D6EB6"/>
    <w:rsid w:val="009D7D63"/>
    <w:rsid w:val="009E1B26"/>
    <w:rsid w:val="009E37FF"/>
    <w:rsid w:val="009E3D76"/>
    <w:rsid w:val="009E3DEA"/>
    <w:rsid w:val="009E3EE7"/>
    <w:rsid w:val="009E41DB"/>
    <w:rsid w:val="009E4432"/>
    <w:rsid w:val="009E4517"/>
    <w:rsid w:val="009E492A"/>
    <w:rsid w:val="009E4DB0"/>
    <w:rsid w:val="009E4E15"/>
    <w:rsid w:val="009E5C60"/>
    <w:rsid w:val="009E6719"/>
    <w:rsid w:val="009E674E"/>
    <w:rsid w:val="009E6A77"/>
    <w:rsid w:val="009F013E"/>
    <w:rsid w:val="009F09BC"/>
    <w:rsid w:val="009F1009"/>
    <w:rsid w:val="009F1D56"/>
    <w:rsid w:val="009F2281"/>
    <w:rsid w:val="009F3754"/>
    <w:rsid w:val="009F455F"/>
    <w:rsid w:val="009F4726"/>
    <w:rsid w:val="009F524D"/>
    <w:rsid w:val="009F55ED"/>
    <w:rsid w:val="009F572B"/>
    <w:rsid w:val="009F57DD"/>
    <w:rsid w:val="009F71C1"/>
    <w:rsid w:val="00A022FF"/>
    <w:rsid w:val="00A03FF6"/>
    <w:rsid w:val="00A04DC9"/>
    <w:rsid w:val="00A06082"/>
    <w:rsid w:val="00A0624A"/>
    <w:rsid w:val="00A0682B"/>
    <w:rsid w:val="00A06877"/>
    <w:rsid w:val="00A07338"/>
    <w:rsid w:val="00A07BC5"/>
    <w:rsid w:val="00A07FE1"/>
    <w:rsid w:val="00A12445"/>
    <w:rsid w:val="00A1283D"/>
    <w:rsid w:val="00A140B5"/>
    <w:rsid w:val="00A14453"/>
    <w:rsid w:val="00A16B83"/>
    <w:rsid w:val="00A16D4A"/>
    <w:rsid w:val="00A207E8"/>
    <w:rsid w:val="00A20B29"/>
    <w:rsid w:val="00A20D3F"/>
    <w:rsid w:val="00A22B6B"/>
    <w:rsid w:val="00A2427C"/>
    <w:rsid w:val="00A2440A"/>
    <w:rsid w:val="00A26BF5"/>
    <w:rsid w:val="00A27431"/>
    <w:rsid w:val="00A27470"/>
    <w:rsid w:val="00A279DF"/>
    <w:rsid w:val="00A30449"/>
    <w:rsid w:val="00A30CC5"/>
    <w:rsid w:val="00A30CF5"/>
    <w:rsid w:val="00A31234"/>
    <w:rsid w:val="00A317C7"/>
    <w:rsid w:val="00A31BA7"/>
    <w:rsid w:val="00A33387"/>
    <w:rsid w:val="00A33F8E"/>
    <w:rsid w:val="00A34616"/>
    <w:rsid w:val="00A346A7"/>
    <w:rsid w:val="00A3568B"/>
    <w:rsid w:val="00A36C8F"/>
    <w:rsid w:val="00A407C2"/>
    <w:rsid w:val="00A438A9"/>
    <w:rsid w:val="00A43B28"/>
    <w:rsid w:val="00A4419A"/>
    <w:rsid w:val="00A445E8"/>
    <w:rsid w:val="00A445F1"/>
    <w:rsid w:val="00A44925"/>
    <w:rsid w:val="00A44D3C"/>
    <w:rsid w:val="00A45388"/>
    <w:rsid w:val="00A45D55"/>
    <w:rsid w:val="00A4636E"/>
    <w:rsid w:val="00A50038"/>
    <w:rsid w:val="00A50D0B"/>
    <w:rsid w:val="00A51A70"/>
    <w:rsid w:val="00A51B76"/>
    <w:rsid w:val="00A52650"/>
    <w:rsid w:val="00A5281E"/>
    <w:rsid w:val="00A5371B"/>
    <w:rsid w:val="00A53E2F"/>
    <w:rsid w:val="00A5437A"/>
    <w:rsid w:val="00A5517B"/>
    <w:rsid w:val="00A554F3"/>
    <w:rsid w:val="00A575D2"/>
    <w:rsid w:val="00A600C8"/>
    <w:rsid w:val="00A609A3"/>
    <w:rsid w:val="00A612E3"/>
    <w:rsid w:val="00A61A6B"/>
    <w:rsid w:val="00A62177"/>
    <w:rsid w:val="00A62611"/>
    <w:rsid w:val="00A62EE4"/>
    <w:rsid w:val="00A63013"/>
    <w:rsid w:val="00A64BEF"/>
    <w:rsid w:val="00A655AE"/>
    <w:rsid w:val="00A65975"/>
    <w:rsid w:val="00A66C65"/>
    <w:rsid w:val="00A67F66"/>
    <w:rsid w:val="00A70937"/>
    <w:rsid w:val="00A70B0F"/>
    <w:rsid w:val="00A721EE"/>
    <w:rsid w:val="00A7225D"/>
    <w:rsid w:val="00A7347C"/>
    <w:rsid w:val="00A751A6"/>
    <w:rsid w:val="00A75758"/>
    <w:rsid w:val="00A758D3"/>
    <w:rsid w:val="00A75EF7"/>
    <w:rsid w:val="00A7613F"/>
    <w:rsid w:val="00A7680B"/>
    <w:rsid w:val="00A76863"/>
    <w:rsid w:val="00A76A8F"/>
    <w:rsid w:val="00A77D16"/>
    <w:rsid w:val="00A82089"/>
    <w:rsid w:val="00A820C1"/>
    <w:rsid w:val="00A82E77"/>
    <w:rsid w:val="00A84AA7"/>
    <w:rsid w:val="00A85163"/>
    <w:rsid w:val="00A85A0D"/>
    <w:rsid w:val="00A86B13"/>
    <w:rsid w:val="00A86DBF"/>
    <w:rsid w:val="00A871B2"/>
    <w:rsid w:val="00A87208"/>
    <w:rsid w:val="00A90830"/>
    <w:rsid w:val="00A90ECE"/>
    <w:rsid w:val="00A9196C"/>
    <w:rsid w:val="00A91A00"/>
    <w:rsid w:val="00A94071"/>
    <w:rsid w:val="00A9477A"/>
    <w:rsid w:val="00A94DF1"/>
    <w:rsid w:val="00A96153"/>
    <w:rsid w:val="00A964C0"/>
    <w:rsid w:val="00A9752C"/>
    <w:rsid w:val="00A97C34"/>
    <w:rsid w:val="00AA0B47"/>
    <w:rsid w:val="00AA11C5"/>
    <w:rsid w:val="00AA19F0"/>
    <w:rsid w:val="00AA1C84"/>
    <w:rsid w:val="00AA2D3A"/>
    <w:rsid w:val="00AA330E"/>
    <w:rsid w:val="00AA43ED"/>
    <w:rsid w:val="00AA4563"/>
    <w:rsid w:val="00AA5561"/>
    <w:rsid w:val="00AA63FF"/>
    <w:rsid w:val="00AA6C73"/>
    <w:rsid w:val="00AA757C"/>
    <w:rsid w:val="00AB0B4B"/>
    <w:rsid w:val="00AB144A"/>
    <w:rsid w:val="00AB1D1E"/>
    <w:rsid w:val="00AB1D5D"/>
    <w:rsid w:val="00AB2510"/>
    <w:rsid w:val="00AB436A"/>
    <w:rsid w:val="00AB46BE"/>
    <w:rsid w:val="00AB5159"/>
    <w:rsid w:val="00AB556B"/>
    <w:rsid w:val="00AB5FC4"/>
    <w:rsid w:val="00AB6F1C"/>
    <w:rsid w:val="00AB772D"/>
    <w:rsid w:val="00AC08F1"/>
    <w:rsid w:val="00AC1A35"/>
    <w:rsid w:val="00AC1BBE"/>
    <w:rsid w:val="00AC2134"/>
    <w:rsid w:val="00AC2396"/>
    <w:rsid w:val="00AC400E"/>
    <w:rsid w:val="00AC5612"/>
    <w:rsid w:val="00AC5F5E"/>
    <w:rsid w:val="00AC65DA"/>
    <w:rsid w:val="00AC7136"/>
    <w:rsid w:val="00AC7D43"/>
    <w:rsid w:val="00AD110E"/>
    <w:rsid w:val="00AD22A9"/>
    <w:rsid w:val="00AD296C"/>
    <w:rsid w:val="00AD33B5"/>
    <w:rsid w:val="00AD3BB0"/>
    <w:rsid w:val="00AD476E"/>
    <w:rsid w:val="00AD580F"/>
    <w:rsid w:val="00AD58C6"/>
    <w:rsid w:val="00AD66C3"/>
    <w:rsid w:val="00AD76B2"/>
    <w:rsid w:val="00AE026A"/>
    <w:rsid w:val="00AE0B31"/>
    <w:rsid w:val="00AE1082"/>
    <w:rsid w:val="00AE1091"/>
    <w:rsid w:val="00AE10E0"/>
    <w:rsid w:val="00AE1409"/>
    <w:rsid w:val="00AE1D0B"/>
    <w:rsid w:val="00AE2024"/>
    <w:rsid w:val="00AE20B8"/>
    <w:rsid w:val="00AE3A8E"/>
    <w:rsid w:val="00AE47C5"/>
    <w:rsid w:val="00AE4C87"/>
    <w:rsid w:val="00AE5838"/>
    <w:rsid w:val="00AE5FDA"/>
    <w:rsid w:val="00AE6922"/>
    <w:rsid w:val="00AE693E"/>
    <w:rsid w:val="00AE70BB"/>
    <w:rsid w:val="00AE7FE1"/>
    <w:rsid w:val="00AF1912"/>
    <w:rsid w:val="00AF20B4"/>
    <w:rsid w:val="00AF25F9"/>
    <w:rsid w:val="00AF26D6"/>
    <w:rsid w:val="00AF358E"/>
    <w:rsid w:val="00AF3780"/>
    <w:rsid w:val="00AF4593"/>
    <w:rsid w:val="00AF473F"/>
    <w:rsid w:val="00AF6CF1"/>
    <w:rsid w:val="00AF7829"/>
    <w:rsid w:val="00AF7B25"/>
    <w:rsid w:val="00B00892"/>
    <w:rsid w:val="00B00AFE"/>
    <w:rsid w:val="00B00D05"/>
    <w:rsid w:val="00B02569"/>
    <w:rsid w:val="00B0659D"/>
    <w:rsid w:val="00B06959"/>
    <w:rsid w:val="00B06A0F"/>
    <w:rsid w:val="00B06B66"/>
    <w:rsid w:val="00B06BC6"/>
    <w:rsid w:val="00B079BF"/>
    <w:rsid w:val="00B07A78"/>
    <w:rsid w:val="00B11892"/>
    <w:rsid w:val="00B121E8"/>
    <w:rsid w:val="00B122E8"/>
    <w:rsid w:val="00B143B1"/>
    <w:rsid w:val="00B14E7C"/>
    <w:rsid w:val="00B15C85"/>
    <w:rsid w:val="00B15FE9"/>
    <w:rsid w:val="00B16ACA"/>
    <w:rsid w:val="00B16B6E"/>
    <w:rsid w:val="00B175DD"/>
    <w:rsid w:val="00B178BA"/>
    <w:rsid w:val="00B201AC"/>
    <w:rsid w:val="00B20AF4"/>
    <w:rsid w:val="00B217AA"/>
    <w:rsid w:val="00B2245D"/>
    <w:rsid w:val="00B224FB"/>
    <w:rsid w:val="00B24857"/>
    <w:rsid w:val="00B25568"/>
    <w:rsid w:val="00B256F4"/>
    <w:rsid w:val="00B265EB"/>
    <w:rsid w:val="00B26622"/>
    <w:rsid w:val="00B274B6"/>
    <w:rsid w:val="00B27BD6"/>
    <w:rsid w:val="00B27F19"/>
    <w:rsid w:val="00B3005C"/>
    <w:rsid w:val="00B30C37"/>
    <w:rsid w:val="00B3136E"/>
    <w:rsid w:val="00B32870"/>
    <w:rsid w:val="00B32FBA"/>
    <w:rsid w:val="00B3378B"/>
    <w:rsid w:val="00B34275"/>
    <w:rsid w:val="00B3462A"/>
    <w:rsid w:val="00B35547"/>
    <w:rsid w:val="00B35645"/>
    <w:rsid w:val="00B3633D"/>
    <w:rsid w:val="00B369FF"/>
    <w:rsid w:val="00B429C7"/>
    <w:rsid w:val="00B4328D"/>
    <w:rsid w:val="00B443B9"/>
    <w:rsid w:val="00B445F5"/>
    <w:rsid w:val="00B45603"/>
    <w:rsid w:val="00B4599B"/>
    <w:rsid w:val="00B4605E"/>
    <w:rsid w:val="00B4685A"/>
    <w:rsid w:val="00B471F2"/>
    <w:rsid w:val="00B47A17"/>
    <w:rsid w:val="00B524B1"/>
    <w:rsid w:val="00B5282F"/>
    <w:rsid w:val="00B52E26"/>
    <w:rsid w:val="00B53B7A"/>
    <w:rsid w:val="00B53B8A"/>
    <w:rsid w:val="00B55352"/>
    <w:rsid w:val="00B6130E"/>
    <w:rsid w:val="00B62480"/>
    <w:rsid w:val="00B62F65"/>
    <w:rsid w:val="00B62FD9"/>
    <w:rsid w:val="00B636E1"/>
    <w:rsid w:val="00B63812"/>
    <w:rsid w:val="00B64176"/>
    <w:rsid w:val="00B64442"/>
    <w:rsid w:val="00B67AB6"/>
    <w:rsid w:val="00B67D10"/>
    <w:rsid w:val="00B67E06"/>
    <w:rsid w:val="00B7123E"/>
    <w:rsid w:val="00B71A35"/>
    <w:rsid w:val="00B72DA3"/>
    <w:rsid w:val="00B740AC"/>
    <w:rsid w:val="00B7445D"/>
    <w:rsid w:val="00B75F5D"/>
    <w:rsid w:val="00B7602A"/>
    <w:rsid w:val="00B76417"/>
    <w:rsid w:val="00B80189"/>
    <w:rsid w:val="00B8049D"/>
    <w:rsid w:val="00B80968"/>
    <w:rsid w:val="00B80F0A"/>
    <w:rsid w:val="00B810B2"/>
    <w:rsid w:val="00B81682"/>
    <w:rsid w:val="00B84C7F"/>
    <w:rsid w:val="00B85DC5"/>
    <w:rsid w:val="00B86683"/>
    <w:rsid w:val="00B866DF"/>
    <w:rsid w:val="00B8696C"/>
    <w:rsid w:val="00B87C4E"/>
    <w:rsid w:val="00B91904"/>
    <w:rsid w:val="00B9236B"/>
    <w:rsid w:val="00B927F8"/>
    <w:rsid w:val="00B92EF4"/>
    <w:rsid w:val="00B93D7C"/>
    <w:rsid w:val="00B941B7"/>
    <w:rsid w:val="00B96536"/>
    <w:rsid w:val="00B96FE8"/>
    <w:rsid w:val="00B979C0"/>
    <w:rsid w:val="00BA03FE"/>
    <w:rsid w:val="00BA0E63"/>
    <w:rsid w:val="00BA123A"/>
    <w:rsid w:val="00BA1550"/>
    <w:rsid w:val="00BA1F6D"/>
    <w:rsid w:val="00BA28B6"/>
    <w:rsid w:val="00BA49A8"/>
    <w:rsid w:val="00BA7ACC"/>
    <w:rsid w:val="00BA7E36"/>
    <w:rsid w:val="00BB05E0"/>
    <w:rsid w:val="00BB0A9C"/>
    <w:rsid w:val="00BB0E1F"/>
    <w:rsid w:val="00BB165F"/>
    <w:rsid w:val="00BB175B"/>
    <w:rsid w:val="00BB228D"/>
    <w:rsid w:val="00BB2A87"/>
    <w:rsid w:val="00BB2AF0"/>
    <w:rsid w:val="00BB2ED6"/>
    <w:rsid w:val="00BB3A18"/>
    <w:rsid w:val="00BB45AB"/>
    <w:rsid w:val="00BB4D69"/>
    <w:rsid w:val="00BB4DCE"/>
    <w:rsid w:val="00BB6512"/>
    <w:rsid w:val="00BB6ECA"/>
    <w:rsid w:val="00BB769D"/>
    <w:rsid w:val="00BB7BDB"/>
    <w:rsid w:val="00BC1EB9"/>
    <w:rsid w:val="00BC2B94"/>
    <w:rsid w:val="00BC328C"/>
    <w:rsid w:val="00BC4822"/>
    <w:rsid w:val="00BC53BF"/>
    <w:rsid w:val="00BC5958"/>
    <w:rsid w:val="00BC5D18"/>
    <w:rsid w:val="00BC612E"/>
    <w:rsid w:val="00BC7397"/>
    <w:rsid w:val="00BD0571"/>
    <w:rsid w:val="00BD0D87"/>
    <w:rsid w:val="00BD1791"/>
    <w:rsid w:val="00BD1A6D"/>
    <w:rsid w:val="00BD5A27"/>
    <w:rsid w:val="00BD6113"/>
    <w:rsid w:val="00BD6AE2"/>
    <w:rsid w:val="00BD752C"/>
    <w:rsid w:val="00BD7AF7"/>
    <w:rsid w:val="00BD7F8C"/>
    <w:rsid w:val="00BE0FB4"/>
    <w:rsid w:val="00BE10E5"/>
    <w:rsid w:val="00BE1563"/>
    <w:rsid w:val="00BE16D6"/>
    <w:rsid w:val="00BE1CCD"/>
    <w:rsid w:val="00BE47EA"/>
    <w:rsid w:val="00BE56C8"/>
    <w:rsid w:val="00BE58A8"/>
    <w:rsid w:val="00BE67F5"/>
    <w:rsid w:val="00BE6C0F"/>
    <w:rsid w:val="00BE6CD9"/>
    <w:rsid w:val="00BF068B"/>
    <w:rsid w:val="00BF121A"/>
    <w:rsid w:val="00BF1278"/>
    <w:rsid w:val="00BF1CF7"/>
    <w:rsid w:val="00BF333F"/>
    <w:rsid w:val="00BF3530"/>
    <w:rsid w:val="00BF4AC1"/>
    <w:rsid w:val="00BF4F5F"/>
    <w:rsid w:val="00BF6797"/>
    <w:rsid w:val="00BF7803"/>
    <w:rsid w:val="00C035EB"/>
    <w:rsid w:val="00C056F9"/>
    <w:rsid w:val="00C05D11"/>
    <w:rsid w:val="00C06451"/>
    <w:rsid w:val="00C06947"/>
    <w:rsid w:val="00C0709D"/>
    <w:rsid w:val="00C11859"/>
    <w:rsid w:val="00C11F1F"/>
    <w:rsid w:val="00C12622"/>
    <w:rsid w:val="00C12E1E"/>
    <w:rsid w:val="00C134A7"/>
    <w:rsid w:val="00C13BAB"/>
    <w:rsid w:val="00C1416B"/>
    <w:rsid w:val="00C145FF"/>
    <w:rsid w:val="00C1498F"/>
    <w:rsid w:val="00C14CD2"/>
    <w:rsid w:val="00C158DB"/>
    <w:rsid w:val="00C2123D"/>
    <w:rsid w:val="00C22137"/>
    <w:rsid w:val="00C246FA"/>
    <w:rsid w:val="00C24E7F"/>
    <w:rsid w:val="00C24F79"/>
    <w:rsid w:val="00C25362"/>
    <w:rsid w:val="00C256FD"/>
    <w:rsid w:val="00C2648A"/>
    <w:rsid w:val="00C26567"/>
    <w:rsid w:val="00C277C8"/>
    <w:rsid w:val="00C27D5D"/>
    <w:rsid w:val="00C27E34"/>
    <w:rsid w:val="00C309C5"/>
    <w:rsid w:val="00C315EF"/>
    <w:rsid w:val="00C329F9"/>
    <w:rsid w:val="00C32A0F"/>
    <w:rsid w:val="00C34162"/>
    <w:rsid w:val="00C349A2"/>
    <w:rsid w:val="00C35CD3"/>
    <w:rsid w:val="00C36C1B"/>
    <w:rsid w:val="00C40180"/>
    <w:rsid w:val="00C40654"/>
    <w:rsid w:val="00C40B1C"/>
    <w:rsid w:val="00C410AC"/>
    <w:rsid w:val="00C42E07"/>
    <w:rsid w:val="00C42E0B"/>
    <w:rsid w:val="00C42E31"/>
    <w:rsid w:val="00C42E70"/>
    <w:rsid w:val="00C445C2"/>
    <w:rsid w:val="00C4504F"/>
    <w:rsid w:val="00C45EC7"/>
    <w:rsid w:val="00C47674"/>
    <w:rsid w:val="00C5020A"/>
    <w:rsid w:val="00C50C4E"/>
    <w:rsid w:val="00C54602"/>
    <w:rsid w:val="00C551F3"/>
    <w:rsid w:val="00C56E7F"/>
    <w:rsid w:val="00C57A00"/>
    <w:rsid w:val="00C6029D"/>
    <w:rsid w:val="00C6032D"/>
    <w:rsid w:val="00C60875"/>
    <w:rsid w:val="00C608AA"/>
    <w:rsid w:val="00C62BC3"/>
    <w:rsid w:val="00C62DE0"/>
    <w:rsid w:val="00C63979"/>
    <w:rsid w:val="00C63A65"/>
    <w:rsid w:val="00C64EFB"/>
    <w:rsid w:val="00C65075"/>
    <w:rsid w:val="00C66B28"/>
    <w:rsid w:val="00C6783B"/>
    <w:rsid w:val="00C70A90"/>
    <w:rsid w:val="00C711E4"/>
    <w:rsid w:val="00C71E92"/>
    <w:rsid w:val="00C73674"/>
    <w:rsid w:val="00C737FB"/>
    <w:rsid w:val="00C740AC"/>
    <w:rsid w:val="00C755EA"/>
    <w:rsid w:val="00C75EFC"/>
    <w:rsid w:val="00C77124"/>
    <w:rsid w:val="00C77F4C"/>
    <w:rsid w:val="00C802A2"/>
    <w:rsid w:val="00C802E7"/>
    <w:rsid w:val="00C82E7E"/>
    <w:rsid w:val="00C85657"/>
    <w:rsid w:val="00C85D6D"/>
    <w:rsid w:val="00C86430"/>
    <w:rsid w:val="00C86C33"/>
    <w:rsid w:val="00C87D44"/>
    <w:rsid w:val="00C913B9"/>
    <w:rsid w:val="00C9149E"/>
    <w:rsid w:val="00C93BB9"/>
    <w:rsid w:val="00C95093"/>
    <w:rsid w:val="00C952A0"/>
    <w:rsid w:val="00C961B8"/>
    <w:rsid w:val="00CA02D3"/>
    <w:rsid w:val="00CA0333"/>
    <w:rsid w:val="00CA0363"/>
    <w:rsid w:val="00CA0F11"/>
    <w:rsid w:val="00CA1BC1"/>
    <w:rsid w:val="00CA1BFE"/>
    <w:rsid w:val="00CA1D95"/>
    <w:rsid w:val="00CA2320"/>
    <w:rsid w:val="00CA3596"/>
    <w:rsid w:val="00CA3C52"/>
    <w:rsid w:val="00CA515D"/>
    <w:rsid w:val="00CA533F"/>
    <w:rsid w:val="00CA5A12"/>
    <w:rsid w:val="00CB0498"/>
    <w:rsid w:val="00CB1FC4"/>
    <w:rsid w:val="00CB3365"/>
    <w:rsid w:val="00CB5501"/>
    <w:rsid w:val="00CB5A58"/>
    <w:rsid w:val="00CB5B2E"/>
    <w:rsid w:val="00CB60CE"/>
    <w:rsid w:val="00CB7387"/>
    <w:rsid w:val="00CB73EB"/>
    <w:rsid w:val="00CB79AC"/>
    <w:rsid w:val="00CB7A24"/>
    <w:rsid w:val="00CC088A"/>
    <w:rsid w:val="00CC11C8"/>
    <w:rsid w:val="00CC12A5"/>
    <w:rsid w:val="00CC1D28"/>
    <w:rsid w:val="00CC23E4"/>
    <w:rsid w:val="00CC2A53"/>
    <w:rsid w:val="00CC4D0B"/>
    <w:rsid w:val="00CC4F7B"/>
    <w:rsid w:val="00CC5BC5"/>
    <w:rsid w:val="00CC5BEC"/>
    <w:rsid w:val="00CC5EBA"/>
    <w:rsid w:val="00CC6F3B"/>
    <w:rsid w:val="00CD0928"/>
    <w:rsid w:val="00CD0DEA"/>
    <w:rsid w:val="00CD0E0F"/>
    <w:rsid w:val="00CD1216"/>
    <w:rsid w:val="00CD146F"/>
    <w:rsid w:val="00CD2208"/>
    <w:rsid w:val="00CD22DD"/>
    <w:rsid w:val="00CD2880"/>
    <w:rsid w:val="00CD3C70"/>
    <w:rsid w:val="00CD3EAE"/>
    <w:rsid w:val="00CD58F3"/>
    <w:rsid w:val="00CE00D0"/>
    <w:rsid w:val="00CE189B"/>
    <w:rsid w:val="00CE4887"/>
    <w:rsid w:val="00CE5057"/>
    <w:rsid w:val="00CE5B46"/>
    <w:rsid w:val="00CE7B8D"/>
    <w:rsid w:val="00CF0281"/>
    <w:rsid w:val="00CF14A0"/>
    <w:rsid w:val="00CF27C8"/>
    <w:rsid w:val="00CF285C"/>
    <w:rsid w:val="00CF28F2"/>
    <w:rsid w:val="00CF38F7"/>
    <w:rsid w:val="00CF3970"/>
    <w:rsid w:val="00CF3D2D"/>
    <w:rsid w:val="00CF4482"/>
    <w:rsid w:val="00CF5431"/>
    <w:rsid w:val="00CF5599"/>
    <w:rsid w:val="00CF5940"/>
    <w:rsid w:val="00CF6872"/>
    <w:rsid w:val="00CF7AB7"/>
    <w:rsid w:val="00D01AD6"/>
    <w:rsid w:val="00D01B2A"/>
    <w:rsid w:val="00D022C0"/>
    <w:rsid w:val="00D02387"/>
    <w:rsid w:val="00D02F4B"/>
    <w:rsid w:val="00D03264"/>
    <w:rsid w:val="00D04A9C"/>
    <w:rsid w:val="00D06546"/>
    <w:rsid w:val="00D102A5"/>
    <w:rsid w:val="00D1050F"/>
    <w:rsid w:val="00D11435"/>
    <w:rsid w:val="00D11C28"/>
    <w:rsid w:val="00D125FA"/>
    <w:rsid w:val="00D12F60"/>
    <w:rsid w:val="00D1350C"/>
    <w:rsid w:val="00D14453"/>
    <w:rsid w:val="00D156CF"/>
    <w:rsid w:val="00D17B75"/>
    <w:rsid w:val="00D17FC3"/>
    <w:rsid w:val="00D21978"/>
    <w:rsid w:val="00D21DE7"/>
    <w:rsid w:val="00D228ED"/>
    <w:rsid w:val="00D23303"/>
    <w:rsid w:val="00D239D2"/>
    <w:rsid w:val="00D251CB"/>
    <w:rsid w:val="00D2565A"/>
    <w:rsid w:val="00D26339"/>
    <w:rsid w:val="00D27348"/>
    <w:rsid w:val="00D3164F"/>
    <w:rsid w:val="00D32B56"/>
    <w:rsid w:val="00D33F6F"/>
    <w:rsid w:val="00D340EA"/>
    <w:rsid w:val="00D34193"/>
    <w:rsid w:val="00D3518E"/>
    <w:rsid w:val="00D361AC"/>
    <w:rsid w:val="00D36609"/>
    <w:rsid w:val="00D36EA4"/>
    <w:rsid w:val="00D37426"/>
    <w:rsid w:val="00D37DDC"/>
    <w:rsid w:val="00D37E39"/>
    <w:rsid w:val="00D407CC"/>
    <w:rsid w:val="00D427FC"/>
    <w:rsid w:val="00D43105"/>
    <w:rsid w:val="00D43476"/>
    <w:rsid w:val="00D4395F"/>
    <w:rsid w:val="00D4509A"/>
    <w:rsid w:val="00D47E35"/>
    <w:rsid w:val="00D50B75"/>
    <w:rsid w:val="00D51C89"/>
    <w:rsid w:val="00D53F0C"/>
    <w:rsid w:val="00D541CC"/>
    <w:rsid w:val="00D57063"/>
    <w:rsid w:val="00D5764F"/>
    <w:rsid w:val="00D5799D"/>
    <w:rsid w:val="00D602F1"/>
    <w:rsid w:val="00D6045D"/>
    <w:rsid w:val="00D61420"/>
    <w:rsid w:val="00D61CAA"/>
    <w:rsid w:val="00D61DFE"/>
    <w:rsid w:val="00D61E1C"/>
    <w:rsid w:val="00D632B6"/>
    <w:rsid w:val="00D65037"/>
    <w:rsid w:val="00D65A45"/>
    <w:rsid w:val="00D67339"/>
    <w:rsid w:val="00D6741F"/>
    <w:rsid w:val="00D67D29"/>
    <w:rsid w:val="00D70035"/>
    <w:rsid w:val="00D70371"/>
    <w:rsid w:val="00D711D6"/>
    <w:rsid w:val="00D7147C"/>
    <w:rsid w:val="00D71885"/>
    <w:rsid w:val="00D72E67"/>
    <w:rsid w:val="00D7373F"/>
    <w:rsid w:val="00D74804"/>
    <w:rsid w:val="00D74AFC"/>
    <w:rsid w:val="00D76C64"/>
    <w:rsid w:val="00D806BC"/>
    <w:rsid w:val="00D80F05"/>
    <w:rsid w:val="00D811D4"/>
    <w:rsid w:val="00D83869"/>
    <w:rsid w:val="00D84470"/>
    <w:rsid w:val="00D8450D"/>
    <w:rsid w:val="00D8455D"/>
    <w:rsid w:val="00D84A80"/>
    <w:rsid w:val="00D851CA"/>
    <w:rsid w:val="00D855AF"/>
    <w:rsid w:val="00D857D4"/>
    <w:rsid w:val="00D86570"/>
    <w:rsid w:val="00D865F0"/>
    <w:rsid w:val="00D86F9D"/>
    <w:rsid w:val="00D8751A"/>
    <w:rsid w:val="00D908F8"/>
    <w:rsid w:val="00D91CDD"/>
    <w:rsid w:val="00D91CE8"/>
    <w:rsid w:val="00D92627"/>
    <w:rsid w:val="00D9306A"/>
    <w:rsid w:val="00D93393"/>
    <w:rsid w:val="00D93AEE"/>
    <w:rsid w:val="00D944BE"/>
    <w:rsid w:val="00D945C8"/>
    <w:rsid w:val="00D94912"/>
    <w:rsid w:val="00D94D5E"/>
    <w:rsid w:val="00D955DC"/>
    <w:rsid w:val="00D95EE3"/>
    <w:rsid w:val="00DA0606"/>
    <w:rsid w:val="00DA2419"/>
    <w:rsid w:val="00DA26D3"/>
    <w:rsid w:val="00DA27E8"/>
    <w:rsid w:val="00DA2E36"/>
    <w:rsid w:val="00DA317D"/>
    <w:rsid w:val="00DA492B"/>
    <w:rsid w:val="00DA5979"/>
    <w:rsid w:val="00DA5EC1"/>
    <w:rsid w:val="00DA6149"/>
    <w:rsid w:val="00DA6607"/>
    <w:rsid w:val="00DA740C"/>
    <w:rsid w:val="00DB2DA3"/>
    <w:rsid w:val="00DB32B5"/>
    <w:rsid w:val="00DB4213"/>
    <w:rsid w:val="00DB44FE"/>
    <w:rsid w:val="00DB4B26"/>
    <w:rsid w:val="00DB5548"/>
    <w:rsid w:val="00DB741E"/>
    <w:rsid w:val="00DB74D8"/>
    <w:rsid w:val="00DC1E86"/>
    <w:rsid w:val="00DC25C4"/>
    <w:rsid w:val="00DC3B31"/>
    <w:rsid w:val="00DC6649"/>
    <w:rsid w:val="00DC7263"/>
    <w:rsid w:val="00DD11EE"/>
    <w:rsid w:val="00DD1720"/>
    <w:rsid w:val="00DD1B65"/>
    <w:rsid w:val="00DD2777"/>
    <w:rsid w:val="00DD27AA"/>
    <w:rsid w:val="00DD30E7"/>
    <w:rsid w:val="00DD3A19"/>
    <w:rsid w:val="00DD3F4C"/>
    <w:rsid w:val="00DD4CE8"/>
    <w:rsid w:val="00DD4F3C"/>
    <w:rsid w:val="00DD6317"/>
    <w:rsid w:val="00DD644D"/>
    <w:rsid w:val="00DD6721"/>
    <w:rsid w:val="00DD729C"/>
    <w:rsid w:val="00DD785B"/>
    <w:rsid w:val="00DD7CE8"/>
    <w:rsid w:val="00DE007D"/>
    <w:rsid w:val="00DE0861"/>
    <w:rsid w:val="00DE0BF9"/>
    <w:rsid w:val="00DE26D0"/>
    <w:rsid w:val="00DE2CEC"/>
    <w:rsid w:val="00DE4392"/>
    <w:rsid w:val="00DE4C30"/>
    <w:rsid w:val="00DE6FAE"/>
    <w:rsid w:val="00DF0D04"/>
    <w:rsid w:val="00DF106B"/>
    <w:rsid w:val="00DF2601"/>
    <w:rsid w:val="00DF2919"/>
    <w:rsid w:val="00DF37E2"/>
    <w:rsid w:val="00DF3A65"/>
    <w:rsid w:val="00DF605F"/>
    <w:rsid w:val="00DF65F6"/>
    <w:rsid w:val="00DF6734"/>
    <w:rsid w:val="00DF6A6F"/>
    <w:rsid w:val="00DF6BFE"/>
    <w:rsid w:val="00E023B4"/>
    <w:rsid w:val="00E030C2"/>
    <w:rsid w:val="00E032EF"/>
    <w:rsid w:val="00E03ACB"/>
    <w:rsid w:val="00E04602"/>
    <w:rsid w:val="00E04D28"/>
    <w:rsid w:val="00E04DB9"/>
    <w:rsid w:val="00E0504F"/>
    <w:rsid w:val="00E06033"/>
    <w:rsid w:val="00E0618E"/>
    <w:rsid w:val="00E0685E"/>
    <w:rsid w:val="00E06C3B"/>
    <w:rsid w:val="00E076E6"/>
    <w:rsid w:val="00E10EEB"/>
    <w:rsid w:val="00E112A8"/>
    <w:rsid w:val="00E13702"/>
    <w:rsid w:val="00E14198"/>
    <w:rsid w:val="00E14537"/>
    <w:rsid w:val="00E14A83"/>
    <w:rsid w:val="00E15443"/>
    <w:rsid w:val="00E16E1B"/>
    <w:rsid w:val="00E16E42"/>
    <w:rsid w:val="00E174C9"/>
    <w:rsid w:val="00E176DC"/>
    <w:rsid w:val="00E17A88"/>
    <w:rsid w:val="00E21E4A"/>
    <w:rsid w:val="00E225FA"/>
    <w:rsid w:val="00E23388"/>
    <w:rsid w:val="00E23582"/>
    <w:rsid w:val="00E236F5"/>
    <w:rsid w:val="00E23E31"/>
    <w:rsid w:val="00E26087"/>
    <w:rsid w:val="00E267AE"/>
    <w:rsid w:val="00E268FF"/>
    <w:rsid w:val="00E2754D"/>
    <w:rsid w:val="00E27B84"/>
    <w:rsid w:val="00E27D69"/>
    <w:rsid w:val="00E3096B"/>
    <w:rsid w:val="00E312A3"/>
    <w:rsid w:val="00E32A65"/>
    <w:rsid w:val="00E336F4"/>
    <w:rsid w:val="00E33DEA"/>
    <w:rsid w:val="00E3461E"/>
    <w:rsid w:val="00E34FF8"/>
    <w:rsid w:val="00E35068"/>
    <w:rsid w:val="00E35319"/>
    <w:rsid w:val="00E353FC"/>
    <w:rsid w:val="00E41AF4"/>
    <w:rsid w:val="00E41EE5"/>
    <w:rsid w:val="00E420DF"/>
    <w:rsid w:val="00E436BF"/>
    <w:rsid w:val="00E43B83"/>
    <w:rsid w:val="00E4432F"/>
    <w:rsid w:val="00E44E13"/>
    <w:rsid w:val="00E45474"/>
    <w:rsid w:val="00E45992"/>
    <w:rsid w:val="00E47BA0"/>
    <w:rsid w:val="00E5352A"/>
    <w:rsid w:val="00E538D8"/>
    <w:rsid w:val="00E54015"/>
    <w:rsid w:val="00E55116"/>
    <w:rsid w:val="00E56722"/>
    <w:rsid w:val="00E5739D"/>
    <w:rsid w:val="00E57879"/>
    <w:rsid w:val="00E57DF1"/>
    <w:rsid w:val="00E60784"/>
    <w:rsid w:val="00E60987"/>
    <w:rsid w:val="00E60FE0"/>
    <w:rsid w:val="00E61CCE"/>
    <w:rsid w:val="00E636C6"/>
    <w:rsid w:val="00E63CC4"/>
    <w:rsid w:val="00E64C0C"/>
    <w:rsid w:val="00E64FDA"/>
    <w:rsid w:val="00E65039"/>
    <w:rsid w:val="00E667F2"/>
    <w:rsid w:val="00E66AE3"/>
    <w:rsid w:val="00E67A05"/>
    <w:rsid w:val="00E7212D"/>
    <w:rsid w:val="00E72766"/>
    <w:rsid w:val="00E727DB"/>
    <w:rsid w:val="00E73543"/>
    <w:rsid w:val="00E747DA"/>
    <w:rsid w:val="00E75046"/>
    <w:rsid w:val="00E75393"/>
    <w:rsid w:val="00E75D02"/>
    <w:rsid w:val="00E816F3"/>
    <w:rsid w:val="00E81A35"/>
    <w:rsid w:val="00E84D22"/>
    <w:rsid w:val="00E86012"/>
    <w:rsid w:val="00E87E53"/>
    <w:rsid w:val="00E87F1E"/>
    <w:rsid w:val="00E91FDF"/>
    <w:rsid w:val="00E93097"/>
    <w:rsid w:val="00E938E2"/>
    <w:rsid w:val="00E93ABB"/>
    <w:rsid w:val="00E947C0"/>
    <w:rsid w:val="00E94FEF"/>
    <w:rsid w:val="00E959DF"/>
    <w:rsid w:val="00E95F49"/>
    <w:rsid w:val="00E9711B"/>
    <w:rsid w:val="00E97EBB"/>
    <w:rsid w:val="00E97EBE"/>
    <w:rsid w:val="00EA0C54"/>
    <w:rsid w:val="00EA118A"/>
    <w:rsid w:val="00EA1411"/>
    <w:rsid w:val="00EA1C92"/>
    <w:rsid w:val="00EA38D4"/>
    <w:rsid w:val="00EA3A4D"/>
    <w:rsid w:val="00EA3A78"/>
    <w:rsid w:val="00EA6221"/>
    <w:rsid w:val="00EA6537"/>
    <w:rsid w:val="00EA71B0"/>
    <w:rsid w:val="00EB14C2"/>
    <w:rsid w:val="00EB1D2B"/>
    <w:rsid w:val="00EB2776"/>
    <w:rsid w:val="00EB3ED8"/>
    <w:rsid w:val="00EB49BD"/>
    <w:rsid w:val="00EB4C7C"/>
    <w:rsid w:val="00EB4ECF"/>
    <w:rsid w:val="00EB551C"/>
    <w:rsid w:val="00EB5DF9"/>
    <w:rsid w:val="00EB6022"/>
    <w:rsid w:val="00EB620C"/>
    <w:rsid w:val="00EB64A3"/>
    <w:rsid w:val="00EB6A71"/>
    <w:rsid w:val="00EB6C5F"/>
    <w:rsid w:val="00EB78FB"/>
    <w:rsid w:val="00EC0805"/>
    <w:rsid w:val="00EC0A6D"/>
    <w:rsid w:val="00EC0DCE"/>
    <w:rsid w:val="00EC1F09"/>
    <w:rsid w:val="00EC3F10"/>
    <w:rsid w:val="00EC4B08"/>
    <w:rsid w:val="00EC4D53"/>
    <w:rsid w:val="00EC5410"/>
    <w:rsid w:val="00EC57E2"/>
    <w:rsid w:val="00EC5800"/>
    <w:rsid w:val="00EC62C3"/>
    <w:rsid w:val="00EC7038"/>
    <w:rsid w:val="00EC763D"/>
    <w:rsid w:val="00EC77B6"/>
    <w:rsid w:val="00ED00C1"/>
    <w:rsid w:val="00ED082C"/>
    <w:rsid w:val="00ED2C61"/>
    <w:rsid w:val="00ED3763"/>
    <w:rsid w:val="00ED747A"/>
    <w:rsid w:val="00EE039A"/>
    <w:rsid w:val="00EE067E"/>
    <w:rsid w:val="00EE0DD8"/>
    <w:rsid w:val="00EE1467"/>
    <w:rsid w:val="00EE1984"/>
    <w:rsid w:val="00EE1B63"/>
    <w:rsid w:val="00EE2BCC"/>
    <w:rsid w:val="00EE3BD9"/>
    <w:rsid w:val="00EE5D42"/>
    <w:rsid w:val="00EE67B5"/>
    <w:rsid w:val="00EE697A"/>
    <w:rsid w:val="00EE6C1E"/>
    <w:rsid w:val="00EE6C28"/>
    <w:rsid w:val="00EE6E10"/>
    <w:rsid w:val="00EE6FE6"/>
    <w:rsid w:val="00EE7199"/>
    <w:rsid w:val="00EE7451"/>
    <w:rsid w:val="00EE7F6C"/>
    <w:rsid w:val="00EF1123"/>
    <w:rsid w:val="00EF14C8"/>
    <w:rsid w:val="00EF2362"/>
    <w:rsid w:val="00EF25E4"/>
    <w:rsid w:val="00EF3E91"/>
    <w:rsid w:val="00EF4C00"/>
    <w:rsid w:val="00EF69C4"/>
    <w:rsid w:val="00EF7F52"/>
    <w:rsid w:val="00F007F0"/>
    <w:rsid w:val="00F00FA4"/>
    <w:rsid w:val="00F020E6"/>
    <w:rsid w:val="00F02305"/>
    <w:rsid w:val="00F03065"/>
    <w:rsid w:val="00F0472D"/>
    <w:rsid w:val="00F047E4"/>
    <w:rsid w:val="00F055AE"/>
    <w:rsid w:val="00F0757C"/>
    <w:rsid w:val="00F1285E"/>
    <w:rsid w:val="00F12DD8"/>
    <w:rsid w:val="00F13AA8"/>
    <w:rsid w:val="00F13CF7"/>
    <w:rsid w:val="00F13DA0"/>
    <w:rsid w:val="00F13F64"/>
    <w:rsid w:val="00F14DEB"/>
    <w:rsid w:val="00F14F74"/>
    <w:rsid w:val="00F150A8"/>
    <w:rsid w:val="00F15774"/>
    <w:rsid w:val="00F165CB"/>
    <w:rsid w:val="00F168C7"/>
    <w:rsid w:val="00F1706C"/>
    <w:rsid w:val="00F179F5"/>
    <w:rsid w:val="00F20806"/>
    <w:rsid w:val="00F21063"/>
    <w:rsid w:val="00F21AD4"/>
    <w:rsid w:val="00F22871"/>
    <w:rsid w:val="00F22C74"/>
    <w:rsid w:val="00F23C55"/>
    <w:rsid w:val="00F23C8C"/>
    <w:rsid w:val="00F23CE4"/>
    <w:rsid w:val="00F24DD2"/>
    <w:rsid w:val="00F26181"/>
    <w:rsid w:val="00F265A5"/>
    <w:rsid w:val="00F27304"/>
    <w:rsid w:val="00F305C4"/>
    <w:rsid w:val="00F30D56"/>
    <w:rsid w:val="00F30F67"/>
    <w:rsid w:val="00F313A2"/>
    <w:rsid w:val="00F31B19"/>
    <w:rsid w:val="00F32974"/>
    <w:rsid w:val="00F33BF8"/>
    <w:rsid w:val="00F349EC"/>
    <w:rsid w:val="00F34B9F"/>
    <w:rsid w:val="00F36CF0"/>
    <w:rsid w:val="00F36D08"/>
    <w:rsid w:val="00F3771F"/>
    <w:rsid w:val="00F4224E"/>
    <w:rsid w:val="00F43A53"/>
    <w:rsid w:val="00F43A97"/>
    <w:rsid w:val="00F43D21"/>
    <w:rsid w:val="00F44209"/>
    <w:rsid w:val="00F45512"/>
    <w:rsid w:val="00F45F87"/>
    <w:rsid w:val="00F466C2"/>
    <w:rsid w:val="00F5131C"/>
    <w:rsid w:val="00F51822"/>
    <w:rsid w:val="00F518E9"/>
    <w:rsid w:val="00F51CCC"/>
    <w:rsid w:val="00F51E6F"/>
    <w:rsid w:val="00F5207E"/>
    <w:rsid w:val="00F53AA1"/>
    <w:rsid w:val="00F53CBB"/>
    <w:rsid w:val="00F53D3E"/>
    <w:rsid w:val="00F54015"/>
    <w:rsid w:val="00F5475A"/>
    <w:rsid w:val="00F54D93"/>
    <w:rsid w:val="00F56485"/>
    <w:rsid w:val="00F5672E"/>
    <w:rsid w:val="00F56EB3"/>
    <w:rsid w:val="00F60B17"/>
    <w:rsid w:val="00F62D5A"/>
    <w:rsid w:val="00F63789"/>
    <w:rsid w:val="00F63FF4"/>
    <w:rsid w:val="00F640A8"/>
    <w:rsid w:val="00F65765"/>
    <w:rsid w:val="00F665A5"/>
    <w:rsid w:val="00F67B27"/>
    <w:rsid w:val="00F70081"/>
    <w:rsid w:val="00F7091C"/>
    <w:rsid w:val="00F70BAE"/>
    <w:rsid w:val="00F72462"/>
    <w:rsid w:val="00F73CF8"/>
    <w:rsid w:val="00F764C6"/>
    <w:rsid w:val="00F76896"/>
    <w:rsid w:val="00F77B1F"/>
    <w:rsid w:val="00F80E63"/>
    <w:rsid w:val="00F81CFE"/>
    <w:rsid w:val="00F82711"/>
    <w:rsid w:val="00F82773"/>
    <w:rsid w:val="00F82A87"/>
    <w:rsid w:val="00F82CE9"/>
    <w:rsid w:val="00F8355E"/>
    <w:rsid w:val="00F83970"/>
    <w:rsid w:val="00F8420C"/>
    <w:rsid w:val="00F869A1"/>
    <w:rsid w:val="00F869AF"/>
    <w:rsid w:val="00F901B3"/>
    <w:rsid w:val="00F909DD"/>
    <w:rsid w:val="00F90DB9"/>
    <w:rsid w:val="00F916D0"/>
    <w:rsid w:val="00F91D57"/>
    <w:rsid w:val="00F92005"/>
    <w:rsid w:val="00F92769"/>
    <w:rsid w:val="00F92E36"/>
    <w:rsid w:val="00F92F8B"/>
    <w:rsid w:val="00F932BF"/>
    <w:rsid w:val="00F94270"/>
    <w:rsid w:val="00F95195"/>
    <w:rsid w:val="00F9569A"/>
    <w:rsid w:val="00F96616"/>
    <w:rsid w:val="00F96FED"/>
    <w:rsid w:val="00F9733C"/>
    <w:rsid w:val="00FA09EC"/>
    <w:rsid w:val="00FA0CFC"/>
    <w:rsid w:val="00FA11CB"/>
    <w:rsid w:val="00FA195E"/>
    <w:rsid w:val="00FA4A85"/>
    <w:rsid w:val="00FA540E"/>
    <w:rsid w:val="00FA582B"/>
    <w:rsid w:val="00FA5DD2"/>
    <w:rsid w:val="00FA6652"/>
    <w:rsid w:val="00FA777D"/>
    <w:rsid w:val="00FB0A1B"/>
    <w:rsid w:val="00FB0C80"/>
    <w:rsid w:val="00FB1199"/>
    <w:rsid w:val="00FB1246"/>
    <w:rsid w:val="00FB143B"/>
    <w:rsid w:val="00FB1933"/>
    <w:rsid w:val="00FB1EE7"/>
    <w:rsid w:val="00FB1F82"/>
    <w:rsid w:val="00FB2A20"/>
    <w:rsid w:val="00FB2FB3"/>
    <w:rsid w:val="00FB4E00"/>
    <w:rsid w:val="00FB52F6"/>
    <w:rsid w:val="00FB561F"/>
    <w:rsid w:val="00FB61C2"/>
    <w:rsid w:val="00FB77BE"/>
    <w:rsid w:val="00FB7BA4"/>
    <w:rsid w:val="00FB7F5A"/>
    <w:rsid w:val="00FC0E73"/>
    <w:rsid w:val="00FC1120"/>
    <w:rsid w:val="00FC22B0"/>
    <w:rsid w:val="00FC364D"/>
    <w:rsid w:val="00FC4AA3"/>
    <w:rsid w:val="00FC506E"/>
    <w:rsid w:val="00FC52EA"/>
    <w:rsid w:val="00FC6117"/>
    <w:rsid w:val="00FC68A2"/>
    <w:rsid w:val="00FC7586"/>
    <w:rsid w:val="00FC75FC"/>
    <w:rsid w:val="00FD2B2C"/>
    <w:rsid w:val="00FD3291"/>
    <w:rsid w:val="00FD3938"/>
    <w:rsid w:val="00FD3BCF"/>
    <w:rsid w:val="00FD3DC8"/>
    <w:rsid w:val="00FD4139"/>
    <w:rsid w:val="00FD6049"/>
    <w:rsid w:val="00FD6CD9"/>
    <w:rsid w:val="00FD7038"/>
    <w:rsid w:val="00FD7C3E"/>
    <w:rsid w:val="00FE0BD1"/>
    <w:rsid w:val="00FE2D2D"/>
    <w:rsid w:val="00FE59C4"/>
    <w:rsid w:val="00FE5C03"/>
    <w:rsid w:val="00FE60E5"/>
    <w:rsid w:val="00FE617A"/>
    <w:rsid w:val="00FE6493"/>
    <w:rsid w:val="00FE7347"/>
    <w:rsid w:val="00FE7C19"/>
    <w:rsid w:val="00FE7F9C"/>
    <w:rsid w:val="00FF0391"/>
    <w:rsid w:val="00FF0FD4"/>
    <w:rsid w:val="00FF17EE"/>
    <w:rsid w:val="00FF1BE9"/>
    <w:rsid w:val="00FF4C98"/>
    <w:rsid w:val="00FF565B"/>
    <w:rsid w:val="00FF5B2D"/>
    <w:rsid w:val="00FF5B6A"/>
    <w:rsid w:val="00FF6204"/>
    <w:rsid w:val="00FF6251"/>
    <w:rsid w:val="00FF787D"/>
    <w:rsid w:val="01282E62"/>
    <w:rsid w:val="01395070"/>
    <w:rsid w:val="01660745"/>
    <w:rsid w:val="016E5FDF"/>
    <w:rsid w:val="01761E20"/>
    <w:rsid w:val="017B5249"/>
    <w:rsid w:val="01883901"/>
    <w:rsid w:val="019F3536"/>
    <w:rsid w:val="01CB2446"/>
    <w:rsid w:val="01D97319"/>
    <w:rsid w:val="01F377D6"/>
    <w:rsid w:val="01F53EF2"/>
    <w:rsid w:val="01F86CD9"/>
    <w:rsid w:val="02225233"/>
    <w:rsid w:val="02396C1A"/>
    <w:rsid w:val="025151E4"/>
    <w:rsid w:val="0263023E"/>
    <w:rsid w:val="026373E5"/>
    <w:rsid w:val="02705EE4"/>
    <w:rsid w:val="027520D7"/>
    <w:rsid w:val="02950184"/>
    <w:rsid w:val="02A12ECC"/>
    <w:rsid w:val="02AD1871"/>
    <w:rsid w:val="02B528A4"/>
    <w:rsid w:val="02C22EFA"/>
    <w:rsid w:val="02C53051"/>
    <w:rsid w:val="02C776F4"/>
    <w:rsid w:val="02DD651C"/>
    <w:rsid w:val="0313544C"/>
    <w:rsid w:val="03214574"/>
    <w:rsid w:val="03224898"/>
    <w:rsid w:val="03347257"/>
    <w:rsid w:val="03514D16"/>
    <w:rsid w:val="037674B6"/>
    <w:rsid w:val="039C5C6F"/>
    <w:rsid w:val="03A27C4E"/>
    <w:rsid w:val="03BB6210"/>
    <w:rsid w:val="03BE360A"/>
    <w:rsid w:val="03C52DAC"/>
    <w:rsid w:val="03C543CE"/>
    <w:rsid w:val="03FA6D38"/>
    <w:rsid w:val="042826B5"/>
    <w:rsid w:val="044977D1"/>
    <w:rsid w:val="047D4149"/>
    <w:rsid w:val="049F168E"/>
    <w:rsid w:val="04C82992"/>
    <w:rsid w:val="05244B68"/>
    <w:rsid w:val="05565D18"/>
    <w:rsid w:val="056E2913"/>
    <w:rsid w:val="05751159"/>
    <w:rsid w:val="05834328"/>
    <w:rsid w:val="05861A63"/>
    <w:rsid w:val="05A625A8"/>
    <w:rsid w:val="05B5562B"/>
    <w:rsid w:val="05C43D00"/>
    <w:rsid w:val="05DF26B3"/>
    <w:rsid w:val="05E82954"/>
    <w:rsid w:val="05E82BC0"/>
    <w:rsid w:val="05FF7813"/>
    <w:rsid w:val="06082398"/>
    <w:rsid w:val="060D73BA"/>
    <w:rsid w:val="062647CB"/>
    <w:rsid w:val="063C35D1"/>
    <w:rsid w:val="064B5960"/>
    <w:rsid w:val="06530982"/>
    <w:rsid w:val="065465E4"/>
    <w:rsid w:val="066071A5"/>
    <w:rsid w:val="06746128"/>
    <w:rsid w:val="068A0B1F"/>
    <w:rsid w:val="06FF01C2"/>
    <w:rsid w:val="07072634"/>
    <w:rsid w:val="07095A7A"/>
    <w:rsid w:val="07295614"/>
    <w:rsid w:val="073F0ABB"/>
    <w:rsid w:val="07492C39"/>
    <w:rsid w:val="076D320A"/>
    <w:rsid w:val="07853B29"/>
    <w:rsid w:val="07996868"/>
    <w:rsid w:val="07B32B5B"/>
    <w:rsid w:val="07BF7DC1"/>
    <w:rsid w:val="07D07803"/>
    <w:rsid w:val="07D27618"/>
    <w:rsid w:val="080258E1"/>
    <w:rsid w:val="080F3735"/>
    <w:rsid w:val="082B1499"/>
    <w:rsid w:val="0831084F"/>
    <w:rsid w:val="08617AB2"/>
    <w:rsid w:val="0874248B"/>
    <w:rsid w:val="088B13F4"/>
    <w:rsid w:val="088E3964"/>
    <w:rsid w:val="08901A19"/>
    <w:rsid w:val="0890375A"/>
    <w:rsid w:val="08910718"/>
    <w:rsid w:val="08A47D9F"/>
    <w:rsid w:val="08E707A2"/>
    <w:rsid w:val="08F631CB"/>
    <w:rsid w:val="08FC579E"/>
    <w:rsid w:val="08FF7EB2"/>
    <w:rsid w:val="09166E6E"/>
    <w:rsid w:val="091F40B1"/>
    <w:rsid w:val="09410F65"/>
    <w:rsid w:val="096D3233"/>
    <w:rsid w:val="09790691"/>
    <w:rsid w:val="09A76967"/>
    <w:rsid w:val="09AB63DF"/>
    <w:rsid w:val="09AF5937"/>
    <w:rsid w:val="09CC060D"/>
    <w:rsid w:val="09CC4B6E"/>
    <w:rsid w:val="09FF76E2"/>
    <w:rsid w:val="0A026A8A"/>
    <w:rsid w:val="0A087011"/>
    <w:rsid w:val="0A3563E8"/>
    <w:rsid w:val="0A4D7496"/>
    <w:rsid w:val="0A5318B0"/>
    <w:rsid w:val="0A5F6EA7"/>
    <w:rsid w:val="0A6056FB"/>
    <w:rsid w:val="0A6B0AF5"/>
    <w:rsid w:val="0A786C09"/>
    <w:rsid w:val="0A79028B"/>
    <w:rsid w:val="0A7A2D0E"/>
    <w:rsid w:val="0A87701F"/>
    <w:rsid w:val="0A8C1701"/>
    <w:rsid w:val="0A8D3DDD"/>
    <w:rsid w:val="0AD728E4"/>
    <w:rsid w:val="0AE41BA8"/>
    <w:rsid w:val="0AEF054D"/>
    <w:rsid w:val="0B010D51"/>
    <w:rsid w:val="0B0169D7"/>
    <w:rsid w:val="0B187AA4"/>
    <w:rsid w:val="0B2222CC"/>
    <w:rsid w:val="0B354AFA"/>
    <w:rsid w:val="0B5A00BC"/>
    <w:rsid w:val="0B6B030B"/>
    <w:rsid w:val="0B8D66E4"/>
    <w:rsid w:val="0BA2634A"/>
    <w:rsid w:val="0BBF0FC5"/>
    <w:rsid w:val="0BDD3FF5"/>
    <w:rsid w:val="0BDF1488"/>
    <w:rsid w:val="0BEB515F"/>
    <w:rsid w:val="0C057F62"/>
    <w:rsid w:val="0C1449ED"/>
    <w:rsid w:val="0C2B1C73"/>
    <w:rsid w:val="0C533DFC"/>
    <w:rsid w:val="0C547201"/>
    <w:rsid w:val="0C7D0D59"/>
    <w:rsid w:val="0C8A677F"/>
    <w:rsid w:val="0CBB5584"/>
    <w:rsid w:val="0CCC6D98"/>
    <w:rsid w:val="0CFD0B4C"/>
    <w:rsid w:val="0D044784"/>
    <w:rsid w:val="0D0C188A"/>
    <w:rsid w:val="0D124332"/>
    <w:rsid w:val="0D205FBB"/>
    <w:rsid w:val="0D381024"/>
    <w:rsid w:val="0D4113CC"/>
    <w:rsid w:val="0D466FB0"/>
    <w:rsid w:val="0D5E4674"/>
    <w:rsid w:val="0D6276FC"/>
    <w:rsid w:val="0D6A49B0"/>
    <w:rsid w:val="0D85070E"/>
    <w:rsid w:val="0D887163"/>
    <w:rsid w:val="0D8C650A"/>
    <w:rsid w:val="0DC82A86"/>
    <w:rsid w:val="0DCE69AE"/>
    <w:rsid w:val="0DFA54A6"/>
    <w:rsid w:val="0DFB39DD"/>
    <w:rsid w:val="0E1020D2"/>
    <w:rsid w:val="0E421A8D"/>
    <w:rsid w:val="0E4B7C4A"/>
    <w:rsid w:val="0E685E64"/>
    <w:rsid w:val="0E6B438E"/>
    <w:rsid w:val="0E7771D7"/>
    <w:rsid w:val="0E7964D7"/>
    <w:rsid w:val="0E87226D"/>
    <w:rsid w:val="0E9222F6"/>
    <w:rsid w:val="0E931D21"/>
    <w:rsid w:val="0EA9082A"/>
    <w:rsid w:val="0EAD6803"/>
    <w:rsid w:val="0EAF2E93"/>
    <w:rsid w:val="0EC3241C"/>
    <w:rsid w:val="0ED87C76"/>
    <w:rsid w:val="0EE05EB6"/>
    <w:rsid w:val="0EEC2FF5"/>
    <w:rsid w:val="0F296692"/>
    <w:rsid w:val="0F384BB8"/>
    <w:rsid w:val="0F5E6B27"/>
    <w:rsid w:val="0F6E476E"/>
    <w:rsid w:val="0F783207"/>
    <w:rsid w:val="0FA21522"/>
    <w:rsid w:val="0FAD4E79"/>
    <w:rsid w:val="0FC65D20"/>
    <w:rsid w:val="0FCF5C53"/>
    <w:rsid w:val="0FD13404"/>
    <w:rsid w:val="0FD77F6E"/>
    <w:rsid w:val="100A29AA"/>
    <w:rsid w:val="100F2E1B"/>
    <w:rsid w:val="101E403C"/>
    <w:rsid w:val="1021389E"/>
    <w:rsid w:val="102C6FB4"/>
    <w:rsid w:val="10312D46"/>
    <w:rsid w:val="103C1260"/>
    <w:rsid w:val="10484987"/>
    <w:rsid w:val="10490D95"/>
    <w:rsid w:val="10592368"/>
    <w:rsid w:val="10593888"/>
    <w:rsid w:val="10865D10"/>
    <w:rsid w:val="10875DEF"/>
    <w:rsid w:val="109742C1"/>
    <w:rsid w:val="10A11FA6"/>
    <w:rsid w:val="10A17080"/>
    <w:rsid w:val="10B75AAF"/>
    <w:rsid w:val="10B8169A"/>
    <w:rsid w:val="10B93AD7"/>
    <w:rsid w:val="10BF32A4"/>
    <w:rsid w:val="10D17422"/>
    <w:rsid w:val="10D27F08"/>
    <w:rsid w:val="10E609BB"/>
    <w:rsid w:val="10ED3499"/>
    <w:rsid w:val="10FC5772"/>
    <w:rsid w:val="1128068E"/>
    <w:rsid w:val="11290C5D"/>
    <w:rsid w:val="11350A9B"/>
    <w:rsid w:val="114509CA"/>
    <w:rsid w:val="11513B21"/>
    <w:rsid w:val="11531D72"/>
    <w:rsid w:val="116577BB"/>
    <w:rsid w:val="11716160"/>
    <w:rsid w:val="11894C84"/>
    <w:rsid w:val="119E3C74"/>
    <w:rsid w:val="11AC0F46"/>
    <w:rsid w:val="11C34A99"/>
    <w:rsid w:val="11E304F7"/>
    <w:rsid w:val="11ED3017"/>
    <w:rsid w:val="121439FE"/>
    <w:rsid w:val="12144B18"/>
    <w:rsid w:val="12291F06"/>
    <w:rsid w:val="123F525C"/>
    <w:rsid w:val="12503FC7"/>
    <w:rsid w:val="12863E8D"/>
    <w:rsid w:val="12A52F29"/>
    <w:rsid w:val="12CC6D7D"/>
    <w:rsid w:val="12E46AC8"/>
    <w:rsid w:val="12E61A53"/>
    <w:rsid w:val="12EA0FB1"/>
    <w:rsid w:val="12F51C1B"/>
    <w:rsid w:val="13036D4E"/>
    <w:rsid w:val="13177157"/>
    <w:rsid w:val="132D1840"/>
    <w:rsid w:val="133C40E4"/>
    <w:rsid w:val="13802764"/>
    <w:rsid w:val="13873F11"/>
    <w:rsid w:val="138D68F2"/>
    <w:rsid w:val="138F71A3"/>
    <w:rsid w:val="1391646C"/>
    <w:rsid w:val="13B75BC3"/>
    <w:rsid w:val="13C22CA3"/>
    <w:rsid w:val="13C93A93"/>
    <w:rsid w:val="13EC10CA"/>
    <w:rsid w:val="13F4415E"/>
    <w:rsid w:val="13F81CF1"/>
    <w:rsid w:val="1403685D"/>
    <w:rsid w:val="14137967"/>
    <w:rsid w:val="14263231"/>
    <w:rsid w:val="146124BC"/>
    <w:rsid w:val="148D458B"/>
    <w:rsid w:val="14B149D6"/>
    <w:rsid w:val="14B333BF"/>
    <w:rsid w:val="14D952C9"/>
    <w:rsid w:val="150C57D1"/>
    <w:rsid w:val="15490931"/>
    <w:rsid w:val="154C5EEA"/>
    <w:rsid w:val="15523BAE"/>
    <w:rsid w:val="15720D49"/>
    <w:rsid w:val="15923759"/>
    <w:rsid w:val="15A433B6"/>
    <w:rsid w:val="15B26914"/>
    <w:rsid w:val="15D31197"/>
    <w:rsid w:val="15D62EB2"/>
    <w:rsid w:val="15D849FF"/>
    <w:rsid w:val="15F41343"/>
    <w:rsid w:val="15FA6724"/>
    <w:rsid w:val="16481E21"/>
    <w:rsid w:val="1661747F"/>
    <w:rsid w:val="1664345C"/>
    <w:rsid w:val="16695657"/>
    <w:rsid w:val="16975C9C"/>
    <w:rsid w:val="16A907BA"/>
    <w:rsid w:val="16AE52ED"/>
    <w:rsid w:val="16B0060F"/>
    <w:rsid w:val="16CD087C"/>
    <w:rsid w:val="16DB5E63"/>
    <w:rsid w:val="16DD16B7"/>
    <w:rsid w:val="170C6160"/>
    <w:rsid w:val="17334F96"/>
    <w:rsid w:val="1740764F"/>
    <w:rsid w:val="1744673D"/>
    <w:rsid w:val="17682E08"/>
    <w:rsid w:val="17814916"/>
    <w:rsid w:val="179C27BC"/>
    <w:rsid w:val="17B172B6"/>
    <w:rsid w:val="17B20E79"/>
    <w:rsid w:val="17BB1D2B"/>
    <w:rsid w:val="17CB0CA0"/>
    <w:rsid w:val="17D077E9"/>
    <w:rsid w:val="17DE10F6"/>
    <w:rsid w:val="17E25DCE"/>
    <w:rsid w:val="17E838DC"/>
    <w:rsid w:val="17F453F5"/>
    <w:rsid w:val="180C6BE2"/>
    <w:rsid w:val="182A1443"/>
    <w:rsid w:val="184243B2"/>
    <w:rsid w:val="1861184A"/>
    <w:rsid w:val="18A2475F"/>
    <w:rsid w:val="18CE20EA"/>
    <w:rsid w:val="18DC0363"/>
    <w:rsid w:val="18F12B5F"/>
    <w:rsid w:val="1910625E"/>
    <w:rsid w:val="19151D60"/>
    <w:rsid w:val="1945534C"/>
    <w:rsid w:val="19483C4A"/>
    <w:rsid w:val="1970328F"/>
    <w:rsid w:val="19766A09"/>
    <w:rsid w:val="199155F1"/>
    <w:rsid w:val="19AC5F87"/>
    <w:rsid w:val="19B161E5"/>
    <w:rsid w:val="19D61256"/>
    <w:rsid w:val="19E576EB"/>
    <w:rsid w:val="19FF7C7B"/>
    <w:rsid w:val="1A026024"/>
    <w:rsid w:val="1A0D279E"/>
    <w:rsid w:val="1A32433D"/>
    <w:rsid w:val="1A47203C"/>
    <w:rsid w:val="1A6F565C"/>
    <w:rsid w:val="1A7B1497"/>
    <w:rsid w:val="1AA4002D"/>
    <w:rsid w:val="1ABF3C2F"/>
    <w:rsid w:val="1ACB173F"/>
    <w:rsid w:val="1AE41750"/>
    <w:rsid w:val="1AE873FD"/>
    <w:rsid w:val="1B032A2C"/>
    <w:rsid w:val="1B054406"/>
    <w:rsid w:val="1B1026FF"/>
    <w:rsid w:val="1B211FF8"/>
    <w:rsid w:val="1B326960"/>
    <w:rsid w:val="1B37152A"/>
    <w:rsid w:val="1B3A23A9"/>
    <w:rsid w:val="1B3A77EE"/>
    <w:rsid w:val="1B3C0609"/>
    <w:rsid w:val="1B44632E"/>
    <w:rsid w:val="1B4D379A"/>
    <w:rsid w:val="1B634D6B"/>
    <w:rsid w:val="1B6E3BB2"/>
    <w:rsid w:val="1B78098F"/>
    <w:rsid w:val="1B96304B"/>
    <w:rsid w:val="1BB63DB7"/>
    <w:rsid w:val="1BBC268E"/>
    <w:rsid w:val="1BEA0FE8"/>
    <w:rsid w:val="1BEB4DB2"/>
    <w:rsid w:val="1C634A4F"/>
    <w:rsid w:val="1CB6536F"/>
    <w:rsid w:val="1CC322B5"/>
    <w:rsid w:val="1CD221A8"/>
    <w:rsid w:val="1CD40E4C"/>
    <w:rsid w:val="1CDB62A2"/>
    <w:rsid w:val="1CDD28FB"/>
    <w:rsid w:val="1D0C4F8F"/>
    <w:rsid w:val="1D0F235B"/>
    <w:rsid w:val="1D3E702F"/>
    <w:rsid w:val="1D3F22FF"/>
    <w:rsid w:val="1D81597C"/>
    <w:rsid w:val="1D8C19F6"/>
    <w:rsid w:val="1DD012CA"/>
    <w:rsid w:val="1DF653C6"/>
    <w:rsid w:val="1DFC5F88"/>
    <w:rsid w:val="1E0774ED"/>
    <w:rsid w:val="1E110AAE"/>
    <w:rsid w:val="1E1262EE"/>
    <w:rsid w:val="1E1D4883"/>
    <w:rsid w:val="1E2A39B9"/>
    <w:rsid w:val="1E4470D6"/>
    <w:rsid w:val="1E454BFC"/>
    <w:rsid w:val="1E5A7A8D"/>
    <w:rsid w:val="1E7554E1"/>
    <w:rsid w:val="1E8A3C49"/>
    <w:rsid w:val="1E9D4B1C"/>
    <w:rsid w:val="1ECB680E"/>
    <w:rsid w:val="1ED051BC"/>
    <w:rsid w:val="1ED963AF"/>
    <w:rsid w:val="1EDE51AD"/>
    <w:rsid w:val="1EE23930"/>
    <w:rsid w:val="1EE4221C"/>
    <w:rsid w:val="1F0047E9"/>
    <w:rsid w:val="1F10723B"/>
    <w:rsid w:val="1F2131C7"/>
    <w:rsid w:val="1F215B9B"/>
    <w:rsid w:val="1F2226FE"/>
    <w:rsid w:val="1F2A6CF6"/>
    <w:rsid w:val="1F3E6FA0"/>
    <w:rsid w:val="1F4204DB"/>
    <w:rsid w:val="1F4737FA"/>
    <w:rsid w:val="1F4E7AE0"/>
    <w:rsid w:val="1F6E32A0"/>
    <w:rsid w:val="1F8240A6"/>
    <w:rsid w:val="1F896DEA"/>
    <w:rsid w:val="1F9A2D26"/>
    <w:rsid w:val="1FF7463B"/>
    <w:rsid w:val="20035EEA"/>
    <w:rsid w:val="200B4FA4"/>
    <w:rsid w:val="200D1749"/>
    <w:rsid w:val="20310D40"/>
    <w:rsid w:val="2076109D"/>
    <w:rsid w:val="20775248"/>
    <w:rsid w:val="207D75C5"/>
    <w:rsid w:val="20803CC9"/>
    <w:rsid w:val="20880A5C"/>
    <w:rsid w:val="208C2CC7"/>
    <w:rsid w:val="20935EEA"/>
    <w:rsid w:val="20A952A6"/>
    <w:rsid w:val="20AB6EB8"/>
    <w:rsid w:val="20D97DFA"/>
    <w:rsid w:val="20DE2736"/>
    <w:rsid w:val="20EB620B"/>
    <w:rsid w:val="21222FD3"/>
    <w:rsid w:val="21313216"/>
    <w:rsid w:val="213376E4"/>
    <w:rsid w:val="21450062"/>
    <w:rsid w:val="214C6B8C"/>
    <w:rsid w:val="21537C36"/>
    <w:rsid w:val="217865EB"/>
    <w:rsid w:val="217942C5"/>
    <w:rsid w:val="217E1AF4"/>
    <w:rsid w:val="217E7540"/>
    <w:rsid w:val="218644BB"/>
    <w:rsid w:val="21884109"/>
    <w:rsid w:val="2194106F"/>
    <w:rsid w:val="21994C73"/>
    <w:rsid w:val="21AE4E9E"/>
    <w:rsid w:val="21AF0D0A"/>
    <w:rsid w:val="21BE146A"/>
    <w:rsid w:val="21F36BD7"/>
    <w:rsid w:val="21FE76BA"/>
    <w:rsid w:val="2217065D"/>
    <w:rsid w:val="222B5A58"/>
    <w:rsid w:val="222F3420"/>
    <w:rsid w:val="22883CC5"/>
    <w:rsid w:val="228A0E2F"/>
    <w:rsid w:val="22B36A8C"/>
    <w:rsid w:val="22BC157C"/>
    <w:rsid w:val="22C5455D"/>
    <w:rsid w:val="22C75F7E"/>
    <w:rsid w:val="22CF2BD1"/>
    <w:rsid w:val="22D45DF4"/>
    <w:rsid w:val="22D62209"/>
    <w:rsid w:val="22D74D96"/>
    <w:rsid w:val="22EE13BE"/>
    <w:rsid w:val="230230BC"/>
    <w:rsid w:val="23103A2A"/>
    <w:rsid w:val="23111E5D"/>
    <w:rsid w:val="231A3BF1"/>
    <w:rsid w:val="2324436D"/>
    <w:rsid w:val="232A6C23"/>
    <w:rsid w:val="233A579B"/>
    <w:rsid w:val="23413C10"/>
    <w:rsid w:val="23606A2C"/>
    <w:rsid w:val="236D7C70"/>
    <w:rsid w:val="237E5A3A"/>
    <w:rsid w:val="238B4E5F"/>
    <w:rsid w:val="238D11D7"/>
    <w:rsid w:val="23931F66"/>
    <w:rsid w:val="23A97B6A"/>
    <w:rsid w:val="23B576D9"/>
    <w:rsid w:val="23BC30E9"/>
    <w:rsid w:val="23BF16C8"/>
    <w:rsid w:val="23D1643D"/>
    <w:rsid w:val="24097980"/>
    <w:rsid w:val="24150CA7"/>
    <w:rsid w:val="241B1D93"/>
    <w:rsid w:val="24231246"/>
    <w:rsid w:val="2432177F"/>
    <w:rsid w:val="244D5F5B"/>
    <w:rsid w:val="2471687D"/>
    <w:rsid w:val="247A2B5B"/>
    <w:rsid w:val="247B3126"/>
    <w:rsid w:val="247C132D"/>
    <w:rsid w:val="24906249"/>
    <w:rsid w:val="250222B3"/>
    <w:rsid w:val="250F6ABE"/>
    <w:rsid w:val="25257BCA"/>
    <w:rsid w:val="25276E09"/>
    <w:rsid w:val="255E7A63"/>
    <w:rsid w:val="258F0C2E"/>
    <w:rsid w:val="25D102CA"/>
    <w:rsid w:val="25DC4098"/>
    <w:rsid w:val="25DF73FD"/>
    <w:rsid w:val="26156BAA"/>
    <w:rsid w:val="26164E74"/>
    <w:rsid w:val="261849A4"/>
    <w:rsid w:val="2621604D"/>
    <w:rsid w:val="26345C82"/>
    <w:rsid w:val="26375401"/>
    <w:rsid w:val="264D0106"/>
    <w:rsid w:val="264D28A0"/>
    <w:rsid w:val="26EC683E"/>
    <w:rsid w:val="26F01913"/>
    <w:rsid w:val="27086AF7"/>
    <w:rsid w:val="270B189A"/>
    <w:rsid w:val="27165AD5"/>
    <w:rsid w:val="27201E03"/>
    <w:rsid w:val="273A1D75"/>
    <w:rsid w:val="27430DC8"/>
    <w:rsid w:val="27541A0C"/>
    <w:rsid w:val="27587AF4"/>
    <w:rsid w:val="275C4694"/>
    <w:rsid w:val="276E7044"/>
    <w:rsid w:val="278112A7"/>
    <w:rsid w:val="27871380"/>
    <w:rsid w:val="27897907"/>
    <w:rsid w:val="279943D8"/>
    <w:rsid w:val="279F712B"/>
    <w:rsid w:val="27A030D3"/>
    <w:rsid w:val="27AC1C2E"/>
    <w:rsid w:val="27C30F2C"/>
    <w:rsid w:val="27C93071"/>
    <w:rsid w:val="27CF7BD6"/>
    <w:rsid w:val="27E74F36"/>
    <w:rsid w:val="28052986"/>
    <w:rsid w:val="28147CFA"/>
    <w:rsid w:val="281C6556"/>
    <w:rsid w:val="282A279E"/>
    <w:rsid w:val="283B39F3"/>
    <w:rsid w:val="285957FF"/>
    <w:rsid w:val="28697739"/>
    <w:rsid w:val="288A6A45"/>
    <w:rsid w:val="2892623F"/>
    <w:rsid w:val="28B71F75"/>
    <w:rsid w:val="28B72720"/>
    <w:rsid w:val="28D728DE"/>
    <w:rsid w:val="291935F2"/>
    <w:rsid w:val="294B7B70"/>
    <w:rsid w:val="29625AA9"/>
    <w:rsid w:val="29961BE7"/>
    <w:rsid w:val="29B053DC"/>
    <w:rsid w:val="29CA6FAC"/>
    <w:rsid w:val="29D75101"/>
    <w:rsid w:val="29E207EA"/>
    <w:rsid w:val="29E714EF"/>
    <w:rsid w:val="29FB5550"/>
    <w:rsid w:val="2A4014E1"/>
    <w:rsid w:val="2A4E1877"/>
    <w:rsid w:val="2A5004C9"/>
    <w:rsid w:val="2A6C6047"/>
    <w:rsid w:val="2A6E5084"/>
    <w:rsid w:val="2A780658"/>
    <w:rsid w:val="2A8B3559"/>
    <w:rsid w:val="2A914995"/>
    <w:rsid w:val="2A9250B9"/>
    <w:rsid w:val="2A944D78"/>
    <w:rsid w:val="2AC2694D"/>
    <w:rsid w:val="2B05386B"/>
    <w:rsid w:val="2B0D3C7A"/>
    <w:rsid w:val="2B0F45C8"/>
    <w:rsid w:val="2B1960B1"/>
    <w:rsid w:val="2B2054C6"/>
    <w:rsid w:val="2B58686D"/>
    <w:rsid w:val="2B88437A"/>
    <w:rsid w:val="2B8B08FF"/>
    <w:rsid w:val="2B8B5394"/>
    <w:rsid w:val="2B9176D3"/>
    <w:rsid w:val="2BA70332"/>
    <w:rsid w:val="2BB42571"/>
    <w:rsid w:val="2BCA4992"/>
    <w:rsid w:val="2BD608C7"/>
    <w:rsid w:val="2BDB6BA0"/>
    <w:rsid w:val="2BE041B6"/>
    <w:rsid w:val="2BEC66B7"/>
    <w:rsid w:val="2C53138E"/>
    <w:rsid w:val="2C6623F1"/>
    <w:rsid w:val="2CAC0AE6"/>
    <w:rsid w:val="2CCA7FFB"/>
    <w:rsid w:val="2CE736F5"/>
    <w:rsid w:val="2CFF1B02"/>
    <w:rsid w:val="2CFF241A"/>
    <w:rsid w:val="2D0B4B9B"/>
    <w:rsid w:val="2D3566F2"/>
    <w:rsid w:val="2D3B09C5"/>
    <w:rsid w:val="2D622877"/>
    <w:rsid w:val="2D825E1F"/>
    <w:rsid w:val="2DA64DE1"/>
    <w:rsid w:val="2DBE3F9B"/>
    <w:rsid w:val="2E361A11"/>
    <w:rsid w:val="2E517E01"/>
    <w:rsid w:val="2E530C6F"/>
    <w:rsid w:val="2E556821"/>
    <w:rsid w:val="2E5742A8"/>
    <w:rsid w:val="2E7040E4"/>
    <w:rsid w:val="2EAD3873"/>
    <w:rsid w:val="2EB85ADF"/>
    <w:rsid w:val="2EBC6814"/>
    <w:rsid w:val="2EDC6300"/>
    <w:rsid w:val="2EE24656"/>
    <w:rsid w:val="2EE31529"/>
    <w:rsid w:val="2EFA409A"/>
    <w:rsid w:val="2F154177"/>
    <w:rsid w:val="2F2C736F"/>
    <w:rsid w:val="2F2D0B3A"/>
    <w:rsid w:val="2F3C62EC"/>
    <w:rsid w:val="2F550035"/>
    <w:rsid w:val="2F696D2F"/>
    <w:rsid w:val="2F790638"/>
    <w:rsid w:val="2F950E14"/>
    <w:rsid w:val="2FA110FB"/>
    <w:rsid w:val="2FC07643"/>
    <w:rsid w:val="2FD2768C"/>
    <w:rsid w:val="2FDB1F3B"/>
    <w:rsid w:val="3005114B"/>
    <w:rsid w:val="301172FF"/>
    <w:rsid w:val="30142680"/>
    <w:rsid w:val="30194270"/>
    <w:rsid w:val="30385C7A"/>
    <w:rsid w:val="30406FD1"/>
    <w:rsid w:val="305958AF"/>
    <w:rsid w:val="308617A5"/>
    <w:rsid w:val="308E41E1"/>
    <w:rsid w:val="30D77237"/>
    <w:rsid w:val="30DC51A3"/>
    <w:rsid w:val="30EA6149"/>
    <w:rsid w:val="30F663FE"/>
    <w:rsid w:val="30F857A5"/>
    <w:rsid w:val="30FB21CE"/>
    <w:rsid w:val="30FD1A24"/>
    <w:rsid w:val="31021D7A"/>
    <w:rsid w:val="310A3853"/>
    <w:rsid w:val="310B3F60"/>
    <w:rsid w:val="310D649D"/>
    <w:rsid w:val="314647D2"/>
    <w:rsid w:val="31BD6845"/>
    <w:rsid w:val="31BE5BC2"/>
    <w:rsid w:val="31D420C7"/>
    <w:rsid w:val="31D442D4"/>
    <w:rsid w:val="31F3615E"/>
    <w:rsid w:val="31F36582"/>
    <w:rsid w:val="320666E2"/>
    <w:rsid w:val="32090DFD"/>
    <w:rsid w:val="320D03B2"/>
    <w:rsid w:val="32143980"/>
    <w:rsid w:val="32202696"/>
    <w:rsid w:val="324655CC"/>
    <w:rsid w:val="3263587B"/>
    <w:rsid w:val="326A11B8"/>
    <w:rsid w:val="32811847"/>
    <w:rsid w:val="32922F33"/>
    <w:rsid w:val="32A53B47"/>
    <w:rsid w:val="32A77740"/>
    <w:rsid w:val="32C4038E"/>
    <w:rsid w:val="32C57C62"/>
    <w:rsid w:val="32D049D5"/>
    <w:rsid w:val="32D215B4"/>
    <w:rsid w:val="32E21725"/>
    <w:rsid w:val="3317399C"/>
    <w:rsid w:val="3323262F"/>
    <w:rsid w:val="33382647"/>
    <w:rsid w:val="33492641"/>
    <w:rsid w:val="334E6167"/>
    <w:rsid w:val="33536366"/>
    <w:rsid w:val="33660768"/>
    <w:rsid w:val="336A2CE3"/>
    <w:rsid w:val="3381627F"/>
    <w:rsid w:val="33D463AE"/>
    <w:rsid w:val="33D91DBC"/>
    <w:rsid w:val="33F735B6"/>
    <w:rsid w:val="33FB393B"/>
    <w:rsid w:val="34033D25"/>
    <w:rsid w:val="340A48E2"/>
    <w:rsid w:val="34330E33"/>
    <w:rsid w:val="343E7CCC"/>
    <w:rsid w:val="344C6ED1"/>
    <w:rsid w:val="344F0C52"/>
    <w:rsid w:val="34735BC7"/>
    <w:rsid w:val="348766D1"/>
    <w:rsid w:val="348A6084"/>
    <w:rsid w:val="348F074C"/>
    <w:rsid w:val="34941271"/>
    <w:rsid w:val="34A22009"/>
    <w:rsid w:val="34B71E3F"/>
    <w:rsid w:val="34BC1E66"/>
    <w:rsid w:val="34C52BDA"/>
    <w:rsid w:val="34E07371"/>
    <w:rsid w:val="34E87436"/>
    <w:rsid w:val="34F25797"/>
    <w:rsid w:val="350F4E0F"/>
    <w:rsid w:val="3545703E"/>
    <w:rsid w:val="35523A2F"/>
    <w:rsid w:val="35632643"/>
    <w:rsid w:val="35651F71"/>
    <w:rsid w:val="35743E09"/>
    <w:rsid w:val="357716E7"/>
    <w:rsid w:val="35831E3A"/>
    <w:rsid w:val="358D4C4E"/>
    <w:rsid w:val="35B77D36"/>
    <w:rsid w:val="35DB00EE"/>
    <w:rsid w:val="35DD6F48"/>
    <w:rsid w:val="35DE766F"/>
    <w:rsid w:val="35FD2F22"/>
    <w:rsid w:val="360C7F41"/>
    <w:rsid w:val="3615256F"/>
    <w:rsid w:val="36263618"/>
    <w:rsid w:val="362668E7"/>
    <w:rsid w:val="36486BE0"/>
    <w:rsid w:val="365354FB"/>
    <w:rsid w:val="365D245E"/>
    <w:rsid w:val="36695862"/>
    <w:rsid w:val="366E2A16"/>
    <w:rsid w:val="368B22B5"/>
    <w:rsid w:val="36972D88"/>
    <w:rsid w:val="3699483D"/>
    <w:rsid w:val="36A0306C"/>
    <w:rsid w:val="36DC484B"/>
    <w:rsid w:val="36E95B99"/>
    <w:rsid w:val="36FA1CC4"/>
    <w:rsid w:val="36FD5C1C"/>
    <w:rsid w:val="370F0CB5"/>
    <w:rsid w:val="373B6744"/>
    <w:rsid w:val="374F45D5"/>
    <w:rsid w:val="3755203A"/>
    <w:rsid w:val="37803366"/>
    <w:rsid w:val="379677C3"/>
    <w:rsid w:val="37C213A7"/>
    <w:rsid w:val="37CF16AE"/>
    <w:rsid w:val="37D55D58"/>
    <w:rsid w:val="37D92A66"/>
    <w:rsid w:val="37E50296"/>
    <w:rsid w:val="37E8067A"/>
    <w:rsid w:val="37E93C95"/>
    <w:rsid w:val="37F1351D"/>
    <w:rsid w:val="381552B1"/>
    <w:rsid w:val="38202437"/>
    <w:rsid w:val="382049AB"/>
    <w:rsid w:val="38296970"/>
    <w:rsid w:val="382A2E81"/>
    <w:rsid w:val="382B0567"/>
    <w:rsid w:val="383605AC"/>
    <w:rsid w:val="38376F0C"/>
    <w:rsid w:val="38412230"/>
    <w:rsid w:val="384F4B15"/>
    <w:rsid w:val="38521F98"/>
    <w:rsid w:val="386470BB"/>
    <w:rsid w:val="38756400"/>
    <w:rsid w:val="38AC443C"/>
    <w:rsid w:val="38AE3672"/>
    <w:rsid w:val="38AF7A5B"/>
    <w:rsid w:val="38B65F54"/>
    <w:rsid w:val="38C671A7"/>
    <w:rsid w:val="38CA3A8F"/>
    <w:rsid w:val="390A6308"/>
    <w:rsid w:val="39115287"/>
    <w:rsid w:val="39184FF8"/>
    <w:rsid w:val="392024DA"/>
    <w:rsid w:val="394E6C03"/>
    <w:rsid w:val="394E6F3E"/>
    <w:rsid w:val="395452E2"/>
    <w:rsid w:val="395F3551"/>
    <w:rsid w:val="3964500B"/>
    <w:rsid w:val="398A12C3"/>
    <w:rsid w:val="399F2FBB"/>
    <w:rsid w:val="39A22AAB"/>
    <w:rsid w:val="39A40BEC"/>
    <w:rsid w:val="39AC0AF7"/>
    <w:rsid w:val="39DC7D6B"/>
    <w:rsid w:val="39EB17EB"/>
    <w:rsid w:val="3A073405"/>
    <w:rsid w:val="3A233BEC"/>
    <w:rsid w:val="3A3B6CCD"/>
    <w:rsid w:val="3A607D86"/>
    <w:rsid w:val="3A9D6687"/>
    <w:rsid w:val="3AA20FB4"/>
    <w:rsid w:val="3AA50AA5"/>
    <w:rsid w:val="3AB41DB5"/>
    <w:rsid w:val="3AB7283B"/>
    <w:rsid w:val="3AB83C6A"/>
    <w:rsid w:val="3ABE7953"/>
    <w:rsid w:val="3ADD5C5D"/>
    <w:rsid w:val="3AF677C0"/>
    <w:rsid w:val="3B0130A3"/>
    <w:rsid w:val="3B060CAD"/>
    <w:rsid w:val="3B0E66F6"/>
    <w:rsid w:val="3B31058A"/>
    <w:rsid w:val="3B343EBD"/>
    <w:rsid w:val="3B4A5F00"/>
    <w:rsid w:val="3B5C3915"/>
    <w:rsid w:val="3B6137F5"/>
    <w:rsid w:val="3B6A4B72"/>
    <w:rsid w:val="3B824C26"/>
    <w:rsid w:val="3BD55794"/>
    <w:rsid w:val="3BF30DDD"/>
    <w:rsid w:val="3C1A7270"/>
    <w:rsid w:val="3C2D6FA3"/>
    <w:rsid w:val="3C507548"/>
    <w:rsid w:val="3C585ECE"/>
    <w:rsid w:val="3C77579A"/>
    <w:rsid w:val="3C784471"/>
    <w:rsid w:val="3CA54E72"/>
    <w:rsid w:val="3CC571DC"/>
    <w:rsid w:val="3CDD68AC"/>
    <w:rsid w:val="3CE72BA5"/>
    <w:rsid w:val="3CEB3AA0"/>
    <w:rsid w:val="3D0C4181"/>
    <w:rsid w:val="3D446B77"/>
    <w:rsid w:val="3D586747"/>
    <w:rsid w:val="3D6267D9"/>
    <w:rsid w:val="3D6A6543"/>
    <w:rsid w:val="3DA25869"/>
    <w:rsid w:val="3DBE26AF"/>
    <w:rsid w:val="3DD95B41"/>
    <w:rsid w:val="3DE43692"/>
    <w:rsid w:val="3E1217E7"/>
    <w:rsid w:val="3E233895"/>
    <w:rsid w:val="3E37465F"/>
    <w:rsid w:val="3E427193"/>
    <w:rsid w:val="3E660977"/>
    <w:rsid w:val="3E6D7172"/>
    <w:rsid w:val="3E726EF0"/>
    <w:rsid w:val="3E7319BA"/>
    <w:rsid w:val="3E7368A8"/>
    <w:rsid w:val="3E7630C7"/>
    <w:rsid w:val="3E9561D5"/>
    <w:rsid w:val="3EA21D6D"/>
    <w:rsid w:val="3ECB64E0"/>
    <w:rsid w:val="3ECB717B"/>
    <w:rsid w:val="3ED30B26"/>
    <w:rsid w:val="3ED92ACB"/>
    <w:rsid w:val="3EDC119F"/>
    <w:rsid w:val="3EE55913"/>
    <w:rsid w:val="3EF84C2C"/>
    <w:rsid w:val="3F4168C2"/>
    <w:rsid w:val="3F55178E"/>
    <w:rsid w:val="3F6664A8"/>
    <w:rsid w:val="3F7628A5"/>
    <w:rsid w:val="3F7643A1"/>
    <w:rsid w:val="3F9F58AC"/>
    <w:rsid w:val="3FA96941"/>
    <w:rsid w:val="3FC14663"/>
    <w:rsid w:val="3FC2402E"/>
    <w:rsid w:val="3FC65745"/>
    <w:rsid w:val="3FCF3ECE"/>
    <w:rsid w:val="3FD50132"/>
    <w:rsid w:val="3FE15254"/>
    <w:rsid w:val="401320A6"/>
    <w:rsid w:val="40173D5F"/>
    <w:rsid w:val="402266F3"/>
    <w:rsid w:val="403440F0"/>
    <w:rsid w:val="40481D2B"/>
    <w:rsid w:val="40563AA4"/>
    <w:rsid w:val="409A6DDE"/>
    <w:rsid w:val="40AD4705"/>
    <w:rsid w:val="40C72E62"/>
    <w:rsid w:val="40CF73FA"/>
    <w:rsid w:val="40DA03F8"/>
    <w:rsid w:val="41083C4A"/>
    <w:rsid w:val="410C362B"/>
    <w:rsid w:val="410D3D2A"/>
    <w:rsid w:val="41102C28"/>
    <w:rsid w:val="41181DB8"/>
    <w:rsid w:val="412819D4"/>
    <w:rsid w:val="414F32BC"/>
    <w:rsid w:val="416074D3"/>
    <w:rsid w:val="41640AB9"/>
    <w:rsid w:val="4176136B"/>
    <w:rsid w:val="417A64A7"/>
    <w:rsid w:val="419759E2"/>
    <w:rsid w:val="41B93740"/>
    <w:rsid w:val="41C061C4"/>
    <w:rsid w:val="41C2018E"/>
    <w:rsid w:val="41C932CA"/>
    <w:rsid w:val="41D14B21"/>
    <w:rsid w:val="41FB6634"/>
    <w:rsid w:val="42350A5D"/>
    <w:rsid w:val="424814D6"/>
    <w:rsid w:val="427B6086"/>
    <w:rsid w:val="428C42F8"/>
    <w:rsid w:val="428D254A"/>
    <w:rsid w:val="429A3B25"/>
    <w:rsid w:val="42BB7D5E"/>
    <w:rsid w:val="42CA436E"/>
    <w:rsid w:val="42D12057"/>
    <w:rsid w:val="42D35450"/>
    <w:rsid w:val="42E51FD3"/>
    <w:rsid w:val="430345BA"/>
    <w:rsid w:val="43114C5B"/>
    <w:rsid w:val="43231819"/>
    <w:rsid w:val="434D7F2B"/>
    <w:rsid w:val="436112E1"/>
    <w:rsid w:val="437F726A"/>
    <w:rsid w:val="43B27F33"/>
    <w:rsid w:val="43BD0556"/>
    <w:rsid w:val="43E42E40"/>
    <w:rsid w:val="43E843FC"/>
    <w:rsid w:val="43E85137"/>
    <w:rsid w:val="43EA577A"/>
    <w:rsid w:val="43F32881"/>
    <w:rsid w:val="43F965F5"/>
    <w:rsid w:val="44030B25"/>
    <w:rsid w:val="441A5B83"/>
    <w:rsid w:val="44237436"/>
    <w:rsid w:val="444A4552"/>
    <w:rsid w:val="449514A3"/>
    <w:rsid w:val="44A1052F"/>
    <w:rsid w:val="44C17E09"/>
    <w:rsid w:val="44E65F41"/>
    <w:rsid w:val="450D34CE"/>
    <w:rsid w:val="45170CC5"/>
    <w:rsid w:val="45175BEF"/>
    <w:rsid w:val="45390767"/>
    <w:rsid w:val="453A13E9"/>
    <w:rsid w:val="45A855DF"/>
    <w:rsid w:val="45C62751"/>
    <w:rsid w:val="45F4468E"/>
    <w:rsid w:val="46004F2C"/>
    <w:rsid w:val="46130FB8"/>
    <w:rsid w:val="461446D4"/>
    <w:rsid w:val="4621435F"/>
    <w:rsid w:val="462B4CFE"/>
    <w:rsid w:val="463B50B8"/>
    <w:rsid w:val="46517D32"/>
    <w:rsid w:val="466E21E8"/>
    <w:rsid w:val="467C3A29"/>
    <w:rsid w:val="467E12DF"/>
    <w:rsid w:val="468C60E3"/>
    <w:rsid w:val="468E537E"/>
    <w:rsid w:val="46B30AAC"/>
    <w:rsid w:val="46C271C9"/>
    <w:rsid w:val="46F97913"/>
    <w:rsid w:val="47014ED8"/>
    <w:rsid w:val="47041349"/>
    <w:rsid w:val="470F1B35"/>
    <w:rsid w:val="4712301E"/>
    <w:rsid w:val="472738F6"/>
    <w:rsid w:val="473B7B8B"/>
    <w:rsid w:val="473C2D43"/>
    <w:rsid w:val="473E6CD8"/>
    <w:rsid w:val="47412EB6"/>
    <w:rsid w:val="476E6648"/>
    <w:rsid w:val="47883BED"/>
    <w:rsid w:val="47AD7407"/>
    <w:rsid w:val="48025160"/>
    <w:rsid w:val="481E1E96"/>
    <w:rsid w:val="4832149E"/>
    <w:rsid w:val="48531B40"/>
    <w:rsid w:val="485B15E4"/>
    <w:rsid w:val="486531D0"/>
    <w:rsid w:val="48722484"/>
    <w:rsid w:val="4886440C"/>
    <w:rsid w:val="48897310"/>
    <w:rsid w:val="48A6108D"/>
    <w:rsid w:val="48BE4CEF"/>
    <w:rsid w:val="48C37EC0"/>
    <w:rsid w:val="48D8430D"/>
    <w:rsid w:val="48DB3D4C"/>
    <w:rsid w:val="48E8603A"/>
    <w:rsid w:val="48EB3A06"/>
    <w:rsid w:val="48EF530C"/>
    <w:rsid w:val="48F64171"/>
    <w:rsid w:val="48F819CE"/>
    <w:rsid w:val="49081EAA"/>
    <w:rsid w:val="490966A2"/>
    <w:rsid w:val="490A2CB2"/>
    <w:rsid w:val="492C413F"/>
    <w:rsid w:val="492F0444"/>
    <w:rsid w:val="49463453"/>
    <w:rsid w:val="49535B70"/>
    <w:rsid w:val="495A5E4D"/>
    <w:rsid w:val="499C3073"/>
    <w:rsid w:val="49AD7CF2"/>
    <w:rsid w:val="49AE271D"/>
    <w:rsid w:val="49B303BC"/>
    <w:rsid w:val="49B961FD"/>
    <w:rsid w:val="49BB5576"/>
    <w:rsid w:val="49BD35EE"/>
    <w:rsid w:val="49CF3B45"/>
    <w:rsid w:val="49E60792"/>
    <w:rsid w:val="49E62540"/>
    <w:rsid w:val="49FB6689"/>
    <w:rsid w:val="4A154756"/>
    <w:rsid w:val="4A1F6202"/>
    <w:rsid w:val="4A263F5E"/>
    <w:rsid w:val="4A3A72F7"/>
    <w:rsid w:val="4A4D564D"/>
    <w:rsid w:val="4A6A3171"/>
    <w:rsid w:val="4A8E61D8"/>
    <w:rsid w:val="4AC95B1D"/>
    <w:rsid w:val="4ADD1B95"/>
    <w:rsid w:val="4B074E64"/>
    <w:rsid w:val="4B086081"/>
    <w:rsid w:val="4B0C5567"/>
    <w:rsid w:val="4B155CC6"/>
    <w:rsid w:val="4B177A79"/>
    <w:rsid w:val="4B213710"/>
    <w:rsid w:val="4B346153"/>
    <w:rsid w:val="4B3F63AB"/>
    <w:rsid w:val="4B453141"/>
    <w:rsid w:val="4B673526"/>
    <w:rsid w:val="4B8D7C94"/>
    <w:rsid w:val="4B9F4781"/>
    <w:rsid w:val="4BA11321"/>
    <w:rsid w:val="4BAC7479"/>
    <w:rsid w:val="4BB038A4"/>
    <w:rsid w:val="4BD2147C"/>
    <w:rsid w:val="4BED37B8"/>
    <w:rsid w:val="4C141C66"/>
    <w:rsid w:val="4C1D2936"/>
    <w:rsid w:val="4C2D3E50"/>
    <w:rsid w:val="4C2D5891"/>
    <w:rsid w:val="4C385105"/>
    <w:rsid w:val="4C391EF7"/>
    <w:rsid w:val="4C566638"/>
    <w:rsid w:val="4C99023E"/>
    <w:rsid w:val="4CA54934"/>
    <w:rsid w:val="4CB77AF0"/>
    <w:rsid w:val="4CB93F3C"/>
    <w:rsid w:val="4CBB0ED2"/>
    <w:rsid w:val="4CE71512"/>
    <w:rsid w:val="4CF073A7"/>
    <w:rsid w:val="4D0F0E56"/>
    <w:rsid w:val="4D265A82"/>
    <w:rsid w:val="4D2E6A38"/>
    <w:rsid w:val="4D355CB8"/>
    <w:rsid w:val="4D441DA5"/>
    <w:rsid w:val="4D50664E"/>
    <w:rsid w:val="4D5D5117"/>
    <w:rsid w:val="4D6A0A8F"/>
    <w:rsid w:val="4D770B83"/>
    <w:rsid w:val="4D860D15"/>
    <w:rsid w:val="4D9440C5"/>
    <w:rsid w:val="4D9524E8"/>
    <w:rsid w:val="4DC67F60"/>
    <w:rsid w:val="4DCE6CC6"/>
    <w:rsid w:val="4DD45CD2"/>
    <w:rsid w:val="4DE25875"/>
    <w:rsid w:val="4DF36033"/>
    <w:rsid w:val="4E013DEC"/>
    <w:rsid w:val="4E143B1F"/>
    <w:rsid w:val="4E154F08"/>
    <w:rsid w:val="4E18681C"/>
    <w:rsid w:val="4E3609B7"/>
    <w:rsid w:val="4E457E48"/>
    <w:rsid w:val="4E607503"/>
    <w:rsid w:val="4E6B59AE"/>
    <w:rsid w:val="4E74341E"/>
    <w:rsid w:val="4E854A1D"/>
    <w:rsid w:val="4E9934BE"/>
    <w:rsid w:val="4EA84268"/>
    <w:rsid w:val="4EB13543"/>
    <w:rsid w:val="4EB23B14"/>
    <w:rsid w:val="4EEA0D24"/>
    <w:rsid w:val="4EF25063"/>
    <w:rsid w:val="4EF7769D"/>
    <w:rsid w:val="4F0516BA"/>
    <w:rsid w:val="4F6011AD"/>
    <w:rsid w:val="4F7A6EB5"/>
    <w:rsid w:val="4FB00B16"/>
    <w:rsid w:val="4FC57184"/>
    <w:rsid w:val="4FE85F30"/>
    <w:rsid w:val="4FF736F9"/>
    <w:rsid w:val="50240720"/>
    <w:rsid w:val="50477657"/>
    <w:rsid w:val="50593A6B"/>
    <w:rsid w:val="505D586B"/>
    <w:rsid w:val="50C6616B"/>
    <w:rsid w:val="50DB4352"/>
    <w:rsid w:val="50E14007"/>
    <w:rsid w:val="50FF2AB5"/>
    <w:rsid w:val="51003940"/>
    <w:rsid w:val="51290FC4"/>
    <w:rsid w:val="513935B4"/>
    <w:rsid w:val="51585451"/>
    <w:rsid w:val="516D2C27"/>
    <w:rsid w:val="517857E5"/>
    <w:rsid w:val="519063D8"/>
    <w:rsid w:val="51A451BA"/>
    <w:rsid w:val="51B3339D"/>
    <w:rsid w:val="51BF71B3"/>
    <w:rsid w:val="51C13FBE"/>
    <w:rsid w:val="51CD7F81"/>
    <w:rsid w:val="51D75C7F"/>
    <w:rsid w:val="51DA759C"/>
    <w:rsid w:val="522462FB"/>
    <w:rsid w:val="523208E5"/>
    <w:rsid w:val="523321FC"/>
    <w:rsid w:val="524E7466"/>
    <w:rsid w:val="525649C0"/>
    <w:rsid w:val="526E69E5"/>
    <w:rsid w:val="52753E34"/>
    <w:rsid w:val="527E45A2"/>
    <w:rsid w:val="52844AA9"/>
    <w:rsid w:val="529C5021"/>
    <w:rsid w:val="529F44E0"/>
    <w:rsid w:val="52A743D0"/>
    <w:rsid w:val="52AF02BB"/>
    <w:rsid w:val="52C021A4"/>
    <w:rsid w:val="52CE3C8E"/>
    <w:rsid w:val="52CE72FC"/>
    <w:rsid w:val="52D65413"/>
    <w:rsid w:val="52E12C9E"/>
    <w:rsid w:val="52EA30A1"/>
    <w:rsid w:val="52F60FD8"/>
    <w:rsid w:val="53030F4A"/>
    <w:rsid w:val="53120D37"/>
    <w:rsid w:val="53342511"/>
    <w:rsid w:val="534D3630"/>
    <w:rsid w:val="53590009"/>
    <w:rsid w:val="53672943"/>
    <w:rsid w:val="539613C9"/>
    <w:rsid w:val="53990623"/>
    <w:rsid w:val="53A31135"/>
    <w:rsid w:val="53D32704"/>
    <w:rsid w:val="53D76A0F"/>
    <w:rsid w:val="54047EAE"/>
    <w:rsid w:val="542928F8"/>
    <w:rsid w:val="54344582"/>
    <w:rsid w:val="543C16DA"/>
    <w:rsid w:val="54492049"/>
    <w:rsid w:val="54530E20"/>
    <w:rsid w:val="54714C3F"/>
    <w:rsid w:val="54970EB7"/>
    <w:rsid w:val="54992FD0"/>
    <w:rsid w:val="54B05D96"/>
    <w:rsid w:val="54C806D1"/>
    <w:rsid w:val="54D261F4"/>
    <w:rsid w:val="54E026C9"/>
    <w:rsid w:val="54F8420F"/>
    <w:rsid w:val="5526379C"/>
    <w:rsid w:val="553E5946"/>
    <w:rsid w:val="55425416"/>
    <w:rsid w:val="5570116D"/>
    <w:rsid w:val="55926106"/>
    <w:rsid w:val="55A97243"/>
    <w:rsid w:val="55BD02EE"/>
    <w:rsid w:val="55E85C3A"/>
    <w:rsid w:val="55FC1C3E"/>
    <w:rsid w:val="56425143"/>
    <w:rsid w:val="5647466C"/>
    <w:rsid w:val="564B0E2E"/>
    <w:rsid w:val="565E78D9"/>
    <w:rsid w:val="56633D24"/>
    <w:rsid w:val="56703D82"/>
    <w:rsid w:val="56A41B62"/>
    <w:rsid w:val="56AC4A3C"/>
    <w:rsid w:val="56C721AE"/>
    <w:rsid w:val="56D7393C"/>
    <w:rsid w:val="56E603AE"/>
    <w:rsid w:val="56E9366F"/>
    <w:rsid w:val="57152468"/>
    <w:rsid w:val="571B288D"/>
    <w:rsid w:val="572B40A7"/>
    <w:rsid w:val="573835C0"/>
    <w:rsid w:val="574E6DE6"/>
    <w:rsid w:val="575439B7"/>
    <w:rsid w:val="57611A20"/>
    <w:rsid w:val="5769651A"/>
    <w:rsid w:val="578C2978"/>
    <w:rsid w:val="57D03782"/>
    <w:rsid w:val="57D4431F"/>
    <w:rsid w:val="57E55968"/>
    <w:rsid w:val="5801416E"/>
    <w:rsid w:val="58160813"/>
    <w:rsid w:val="5818245E"/>
    <w:rsid w:val="58274461"/>
    <w:rsid w:val="58575565"/>
    <w:rsid w:val="5861774F"/>
    <w:rsid w:val="586A31B4"/>
    <w:rsid w:val="58776665"/>
    <w:rsid w:val="587B3A14"/>
    <w:rsid w:val="588D109F"/>
    <w:rsid w:val="589C4E3D"/>
    <w:rsid w:val="58A837E2"/>
    <w:rsid w:val="58B2387C"/>
    <w:rsid w:val="58C30E6E"/>
    <w:rsid w:val="58D15416"/>
    <w:rsid w:val="58EB0176"/>
    <w:rsid w:val="58FC1D80"/>
    <w:rsid w:val="59046E61"/>
    <w:rsid w:val="591B73B4"/>
    <w:rsid w:val="592D4C8F"/>
    <w:rsid w:val="595A5585"/>
    <w:rsid w:val="595B1168"/>
    <w:rsid w:val="59667DF6"/>
    <w:rsid w:val="596811C3"/>
    <w:rsid w:val="597127C2"/>
    <w:rsid w:val="59A42BB8"/>
    <w:rsid w:val="59A73CA4"/>
    <w:rsid w:val="59EB2D82"/>
    <w:rsid w:val="59F94344"/>
    <w:rsid w:val="5A0244D0"/>
    <w:rsid w:val="5A0671D5"/>
    <w:rsid w:val="5A0B7D3A"/>
    <w:rsid w:val="5A160C1F"/>
    <w:rsid w:val="5A261C38"/>
    <w:rsid w:val="5A263236"/>
    <w:rsid w:val="5A366BCB"/>
    <w:rsid w:val="5A445AA6"/>
    <w:rsid w:val="5A7E0A97"/>
    <w:rsid w:val="5A8042EB"/>
    <w:rsid w:val="5A8C3E45"/>
    <w:rsid w:val="5A920ED0"/>
    <w:rsid w:val="5A96164D"/>
    <w:rsid w:val="5AAB11FC"/>
    <w:rsid w:val="5AB87F28"/>
    <w:rsid w:val="5ABF4E13"/>
    <w:rsid w:val="5AD57096"/>
    <w:rsid w:val="5AD706CA"/>
    <w:rsid w:val="5AD8485F"/>
    <w:rsid w:val="5AEA247A"/>
    <w:rsid w:val="5AF040F0"/>
    <w:rsid w:val="5B1909C7"/>
    <w:rsid w:val="5B201F36"/>
    <w:rsid w:val="5B5C7F43"/>
    <w:rsid w:val="5B62137B"/>
    <w:rsid w:val="5B744BAA"/>
    <w:rsid w:val="5B8B618E"/>
    <w:rsid w:val="5B922527"/>
    <w:rsid w:val="5BDB4A3D"/>
    <w:rsid w:val="5BEB6558"/>
    <w:rsid w:val="5BF2247B"/>
    <w:rsid w:val="5BFC7983"/>
    <w:rsid w:val="5C1A5DF8"/>
    <w:rsid w:val="5C20050B"/>
    <w:rsid w:val="5C205D85"/>
    <w:rsid w:val="5C292038"/>
    <w:rsid w:val="5C31677F"/>
    <w:rsid w:val="5C6B19FD"/>
    <w:rsid w:val="5C7D761B"/>
    <w:rsid w:val="5C8027A1"/>
    <w:rsid w:val="5C807A4A"/>
    <w:rsid w:val="5C93180C"/>
    <w:rsid w:val="5CA42512"/>
    <w:rsid w:val="5CC41524"/>
    <w:rsid w:val="5CC55B1A"/>
    <w:rsid w:val="5CF01471"/>
    <w:rsid w:val="5D002796"/>
    <w:rsid w:val="5D0638E0"/>
    <w:rsid w:val="5D073AE2"/>
    <w:rsid w:val="5D113BD7"/>
    <w:rsid w:val="5D2035AC"/>
    <w:rsid w:val="5D382F5E"/>
    <w:rsid w:val="5D527854"/>
    <w:rsid w:val="5D584903"/>
    <w:rsid w:val="5D63542F"/>
    <w:rsid w:val="5DA402F0"/>
    <w:rsid w:val="5DBD5A6A"/>
    <w:rsid w:val="5DC056A0"/>
    <w:rsid w:val="5DC840F7"/>
    <w:rsid w:val="5DD40070"/>
    <w:rsid w:val="5DE30C22"/>
    <w:rsid w:val="5DEA4796"/>
    <w:rsid w:val="5DF474C9"/>
    <w:rsid w:val="5E047B77"/>
    <w:rsid w:val="5E2002BE"/>
    <w:rsid w:val="5E2B6E8D"/>
    <w:rsid w:val="5E315104"/>
    <w:rsid w:val="5E4A70E9"/>
    <w:rsid w:val="5E5E18E7"/>
    <w:rsid w:val="5E690E89"/>
    <w:rsid w:val="5E7455F8"/>
    <w:rsid w:val="5E796DC5"/>
    <w:rsid w:val="5E82395E"/>
    <w:rsid w:val="5E823E8E"/>
    <w:rsid w:val="5E8826BE"/>
    <w:rsid w:val="5E8960B7"/>
    <w:rsid w:val="5E9C09DC"/>
    <w:rsid w:val="5EC80992"/>
    <w:rsid w:val="5ED510A9"/>
    <w:rsid w:val="5EDE6EAB"/>
    <w:rsid w:val="5EE301DD"/>
    <w:rsid w:val="5EE72B8A"/>
    <w:rsid w:val="5EED2252"/>
    <w:rsid w:val="5F28048D"/>
    <w:rsid w:val="5F3F4774"/>
    <w:rsid w:val="5F3F56FD"/>
    <w:rsid w:val="5F4946FD"/>
    <w:rsid w:val="5F7408C2"/>
    <w:rsid w:val="5F742670"/>
    <w:rsid w:val="5F871404"/>
    <w:rsid w:val="5F93686E"/>
    <w:rsid w:val="5F9B1A31"/>
    <w:rsid w:val="5FA91D97"/>
    <w:rsid w:val="5FCB5432"/>
    <w:rsid w:val="5FE42C76"/>
    <w:rsid w:val="60167473"/>
    <w:rsid w:val="601A618D"/>
    <w:rsid w:val="60317D45"/>
    <w:rsid w:val="60447BCD"/>
    <w:rsid w:val="6052105E"/>
    <w:rsid w:val="6062696C"/>
    <w:rsid w:val="606B5015"/>
    <w:rsid w:val="608366AF"/>
    <w:rsid w:val="60852CA1"/>
    <w:rsid w:val="60896B32"/>
    <w:rsid w:val="608E7761"/>
    <w:rsid w:val="60956D04"/>
    <w:rsid w:val="609A4358"/>
    <w:rsid w:val="60B3541A"/>
    <w:rsid w:val="60B62217"/>
    <w:rsid w:val="60C262A4"/>
    <w:rsid w:val="60C7385E"/>
    <w:rsid w:val="60C84DAD"/>
    <w:rsid w:val="60FF7E80"/>
    <w:rsid w:val="61095D9D"/>
    <w:rsid w:val="61110330"/>
    <w:rsid w:val="61241E74"/>
    <w:rsid w:val="61351875"/>
    <w:rsid w:val="613D4CE3"/>
    <w:rsid w:val="614B44C2"/>
    <w:rsid w:val="616F48A9"/>
    <w:rsid w:val="617D7240"/>
    <w:rsid w:val="619436AB"/>
    <w:rsid w:val="619F5A40"/>
    <w:rsid w:val="61CF1C15"/>
    <w:rsid w:val="61DE71A0"/>
    <w:rsid w:val="620121B5"/>
    <w:rsid w:val="620148F1"/>
    <w:rsid w:val="620246A4"/>
    <w:rsid w:val="620D077E"/>
    <w:rsid w:val="622F373B"/>
    <w:rsid w:val="62465F93"/>
    <w:rsid w:val="62A1195D"/>
    <w:rsid w:val="62BA3C1B"/>
    <w:rsid w:val="62BF51B0"/>
    <w:rsid w:val="62C40934"/>
    <w:rsid w:val="62E616CA"/>
    <w:rsid w:val="62F33D6A"/>
    <w:rsid w:val="62FD6E8A"/>
    <w:rsid w:val="6300493C"/>
    <w:rsid w:val="6306389E"/>
    <w:rsid w:val="630705CE"/>
    <w:rsid w:val="63497BFC"/>
    <w:rsid w:val="635778C3"/>
    <w:rsid w:val="635C4A41"/>
    <w:rsid w:val="636A7A6F"/>
    <w:rsid w:val="637009F3"/>
    <w:rsid w:val="637C31A1"/>
    <w:rsid w:val="63911317"/>
    <w:rsid w:val="63BE637B"/>
    <w:rsid w:val="63C0118B"/>
    <w:rsid w:val="63C4145B"/>
    <w:rsid w:val="63CE23C0"/>
    <w:rsid w:val="63D20999"/>
    <w:rsid w:val="63D6444B"/>
    <w:rsid w:val="63FB3550"/>
    <w:rsid w:val="643111B8"/>
    <w:rsid w:val="64C05266"/>
    <w:rsid w:val="64C2143A"/>
    <w:rsid w:val="64C86F50"/>
    <w:rsid w:val="64E000E0"/>
    <w:rsid w:val="64E16E9B"/>
    <w:rsid w:val="64F36F9D"/>
    <w:rsid w:val="65025AE9"/>
    <w:rsid w:val="650A3E17"/>
    <w:rsid w:val="652848C8"/>
    <w:rsid w:val="65317681"/>
    <w:rsid w:val="653C7A73"/>
    <w:rsid w:val="65532D27"/>
    <w:rsid w:val="65556638"/>
    <w:rsid w:val="65613022"/>
    <w:rsid w:val="65613CAA"/>
    <w:rsid w:val="65883CBD"/>
    <w:rsid w:val="658C5D23"/>
    <w:rsid w:val="65921AA2"/>
    <w:rsid w:val="65B551EC"/>
    <w:rsid w:val="65DD3C32"/>
    <w:rsid w:val="65F04A1A"/>
    <w:rsid w:val="65F62988"/>
    <w:rsid w:val="65F77B57"/>
    <w:rsid w:val="65FA5029"/>
    <w:rsid w:val="65FC1511"/>
    <w:rsid w:val="663366B5"/>
    <w:rsid w:val="66442670"/>
    <w:rsid w:val="665755C3"/>
    <w:rsid w:val="66587E7D"/>
    <w:rsid w:val="66681C2D"/>
    <w:rsid w:val="666F5B04"/>
    <w:rsid w:val="667519DC"/>
    <w:rsid w:val="6681400A"/>
    <w:rsid w:val="6683763C"/>
    <w:rsid w:val="6692787F"/>
    <w:rsid w:val="66964874"/>
    <w:rsid w:val="66A34684"/>
    <w:rsid w:val="66BE0674"/>
    <w:rsid w:val="66C2756A"/>
    <w:rsid w:val="66DD23B9"/>
    <w:rsid w:val="66EA76BB"/>
    <w:rsid w:val="66ED4AB6"/>
    <w:rsid w:val="66FE5A6B"/>
    <w:rsid w:val="670924E1"/>
    <w:rsid w:val="671C20D5"/>
    <w:rsid w:val="671E49E8"/>
    <w:rsid w:val="67371AC3"/>
    <w:rsid w:val="674A3638"/>
    <w:rsid w:val="675D70F4"/>
    <w:rsid w:val="67671611"/>
    <w:rsid w:val="67703BE8"/>
    <w:rsid w:val="678D72B5"/>
    <w:rsid w:val="678F7A6C"/>
    <w:rsid w:val="67A365DF"/>
    <w:rsid w:val="67A8436D"/>
    <w:rsid w:val="67B12613"/>
    <w:rsid w:val="67B6759E"/>
    <w:rsid w:val="67BC2E06"/>
    <w:rsid w:val="67BC4B88"/>
    <w:rsid w:val="67BF6553"/>
    <w:rsid w:val="67CD076F"/>
    <w:rsid w:val="67DC3BBA"/>
    <w:rsid w:val="67EB5499"/>
    <w:rsid w:val="67FB3F61"/>
    <w:rsid w:val="67FD51CC"/>
    <w:rsid w:val="681306D0"/>
    <w:rsid w:val="681E2F14"/>
    <w:rsid w:val="683C2529"/>
    <w:rsid w:val="68492CA4"/>
    <w:rsid w:val="684F67DE"/>
    <w:rsid w:val="686A0826"/>
    <w:rsid w:val="688A0B33"/>
    <w:rsid w:val="689A2A1B"/>
    <w:rsid w:val="689D321F"/>
    <w:rsid w:val="68CB6D35"/>
    <w:rsid w:val="68CD50D9"/>
    <w:rsid w:val="68DD307F"/>
    <w:rsid w:val="68E51C27"/>
    <w:rsid w:val="68EB0CAF"/>
    <w:rsid w:val="69125127"/>
    <w:rsid w:val="693D3131"/>
    <w:rsid w:val="694B525B"/>
    <w:rsid w:val="69531548"/>
    <w:rsid w:val="69591526"/>
    <w:rsid w:val="69600AAF"/>
    <w:rsid w:val="69653029"/>
    <w:rsid w:val="696A3641"/>
    <w:rsid w:val="697C0161"/>
    <w:rsid w:val="697F024F"/>
    <w:rsid w:val="69A72111"/>
    <w:rsid w:val="69C445C9"/>
    <w:rsid w:val="69F41031"/>
    <w:rsid w:val="69F94808"/>
    <w:rsid w:val="6A077FAD"/>
    <w:rsid w:val="6A2F513E"/>
    <w:rsid w:val="6A57111F"/>
    <w:rsid w:val="6A6B4823"/>
    <w:rsid w:val="6A7C4ACE"/>
    <w:rsid w:val="6A892D47"/>
    <w:rsid w:val="6A8E2400"/>
    <w:rsid w:val="6A945EB2"/>
    <w:rsid w:val="6AAA7204"/>
    <w:rsid w:val="6AB46016"/>
    <w:rsid w:val="6AB47AFC"/>
    <w:rsid w:val="6AB74B17"/>
    <w:rsid w:val="6ABF2D89"/>
    <w:rsid w:val="6AC53BAD"/>
    <w:rsid w:val="6AE85A35"/>
    <w:rsid w:val="6AFB23B3"/>
    <w:rsid w:val="6B067AE0"/>
    <w:rsid w:val="6B176454"/>
    <w:rsid w:val="6B1B5A23"/>
    <w:rsid w:val="6B4E29A3"/>
    <w:rsid w:val="6B5275DD"/>
    <w:rsid w:val="6B530993"/>
    <w:rsid w:val="6B59204D"/>
    <w:rsid w:val="6B5C2E28"/>
    <w:rsid w:val="6B6643C1"/>
    <w:rsid w:val="6B6712DB"/>
    <w:rsid w:val="6B6932A5"/>
    <w:rsid w:val="6B782A56"/>
    <w:rsid w:val="6B7A32CC"/>
    <w:rsid w:val="6B7A7BD0"/>
    <w:rsid w:val="6BCE135A"/>
    <w:rsid w:val="6BE75F78"/>
    <w:rsid w:val="6BF17A5A"/>
    <w:rsid w:val="6C137845"/>
    <w:rsid w:val="6C224FA5"/>
    <w:rsid w:val="6C375C4B"/>
    <w:rsid w:val="6C57091C"/>
    <w:rsid w:val="6C5E1708"/>
    <w:rsid w:val="6C6D1EFF"/>
    <w:rsid w:val="6CAE2F39"/>
    <w:rsid w:val="6CB53A41"/>
    <w:rsid w:val="6CC2656C"/>
    <w:rsid w:val="6CCC3CEB"/>
    <w:rsid w:val="6CD504C6"/>
    <w:rsid w:val="6CE26FEC"/>
    <w:rsid w:val="6D01726B"/>
    <w:rsid w:val="6D375E13"/>
    <w:rsid w:val="6D384AAC"/>
    <w:rsid w:val="6D45389E"/>
    <w:rsid w:val="6D4973D0"/>
    <w:rsid w:val="6D4B4F01"/>
    <w:rsid w:val="6D4E34E9"/>
    <w:rsid w:val="6D5D0BE7"/>
    <w:rsid w:val="6D614F80"/>
    <w:rsid w:val="6D620F43"/>
    <w:rsid w:val="6D656FBA"/>
    <w:rsid w:val="6D6B4986"/>
    <w:rsid w:val="6D763079"/>
    <w:rsid w:val="6DCA76CB"/>
    <w:rsid w:val="6DE152E0"/>
    <w:rsid w:val="6DE22D2B"/>
    <w:rsid w:val="6DF23836"/>
    <w:rsid w:val="6E2254B0"/>
    <w:rsid w:val="6E2F6321"/>
    <w:rsid w:val="6E3F1A65"/>
    <w:rsid w:val="6E4B47D3"/>
    <w:rsid w:val="6E5718ED"/>
    <w:rsid w:val="6E6E472E"/>
    <w:rsid w:val="6EA20FA6"/>
    <w:rsid w:val="6EC96C7C"/>
    <w:rsid w:val="6ED04020"/>
    <w:rsid w:val="6EDD197B"/>
    <w:rsid w:val="6EF61C45"/>
    <w:rsid w:val="6EFF7A7C"/>
    <w:rsid w:val="6F0E077D"/>
    <w:rsid w:val="6F431ED2"/>
    <w:rsid w:val="6F4D506F"/>
    <w:rsid w:val="6F5975B5"/>
    <w:rsid w:val="6F631DB9"/>
    <w:rsid w:val="6F8824DC"/>
    <w:rsid w:val="6F99099C"/>
    <w:rsid w:val="6F9B1553"/>
    <w:rsid w:val="6FB63CD2"/>
    <w:rsid w:val="6FC42448"/>
    <w:rsid w:val="6FD50526"/>
    <w:rsid w:val="70307907"/>
    <w:rsid w:val="70447E3C"/>
    <w:rsid w:val="70741DA4"/>
    <w:rsid w:val="708756F6"/>
    <w:rsid w:val="708F375E"/>
    <w:rsid w:val="70A23F39"/>
    <w:rsid w:val="70AB7084"/>
    <w:rsid w:val="70BA5BE4"/>
    <w:rsid w:val="70D349AD"/>
    <w:rsid w:val="70DD3B46"/>
    <w:rsid w:val="70EE1B56"/>
    <w:rsid w:val="71066EA0"/>
    <w:rsid w:val="710A0117"/>
    <w:rsid w:val="7142285A"/>
    <w:rsid w:val="715624D2"/>
    <w:rsid w:val="715B5538"/>
    <w:rsid w:val="716367AB"/>
    <w:rsid w:val="716B5702"/>
    <w:rsid w:val="718770A0"/>
    <w:rsid w:val="718E189F"/>
    <w:rsid w:val="71A35C73"/>
    <w:rsid w:val="71A4203F"/>
    <w:rsid w:val="71AD122B"/>
    <w:rsid w:val="71B34D79"/>
    <w:rsid w:val="71CE66D0"/>
    <w:rsid w:val="71F364B9"/>
    <w:rsid w:val="71F4211C"/>
    <w:rsid w:val="721101F2"/>
    <w:rsid w:val="72181A08"/>
    <w:rsid w:val="72291BAE"/>
    <w:rsid w:val="72371FB9"/>
    <w:rsid w:val="724C36BA"/>
    <w:rsid w:val="72640322"/>
    <w:rsid w:val="726D0DAF"/>
    <w:rsid w:val="729E3FD7"/>
    <w:rsid w:val="72C25F4F"/>
    <w:rsid w:val="72C8432A"/>
    <w:rsid w:val="72C93B26"/>
    <w:rsid w:val="72D03C09"/>
    <w:rsid w:val="72FF29C9"/>
    <w:rsid w:val="73064223"/>
    <w:rsid w:val="731F35F5"/>
    <w:rsid w:val="732B21F2"/>
    <w:rsid w:val="734E3DF7"/>
    <w:rsid w:val="73573DD3"/>
    <w:rsid w:val="73581664"/>
    <w:rsid w:val="73640814"/>
    <w:rsid w:val="73690F70"/>
    <w:rsid w:val="737030DA"/>
    <w:rsid w:val="738126A0"/>
    <w:rsid w:val="73A328F5"/>
    <w:rsid w:val="73A8003D"/>
    <w:rsid w:val="73AB3113"/>
    <w:rsid w:val="73B0168E"/>
    <w:rsid w:val="74026044"/>
    <w:rsid w:val="740320D9"/>
    <w:rsid w:val="74191428"/>
    <w:rsid w:val="7439357D"/>
    <w:rsid w:val="743F0CE0"/>
    <w:rsid w:val="745368A0"/>
    <w:rsid w:val="7460720F"/>
    <w:rsid w:val="74676F02"/>
    <w:rsid w:val="747E1DF6"/>
    <w:rsid w:val="748A603A"/>
    <w:rsid w:val="748B607C"/>
    <w:rsid w:val="74AB1682"/>
    <w:rsid w:val="74AD574D"/>
    <w:rsid w:val="74AF5AA0"/>
    <w:rsid w:val="74B17A6A"/>
    <w:rsid w:val="74B5439A"/>
    <w:rsid w:val="74BF33D6"/>
    <w:rsid w:val="74BF474E"/>
    <w:rsid w:val="74EB0EF4"/>
    <w:rsid w:val="75033177"/>
    <w:rsid w:val="751029E3"/>
    <w:rsid w:val="75322959"/>
    <w:rsid w:val="753D4653"/>
    <w:rsid w:val="756B1D55"/>
    <w:rsid w:val="7573740D"/>
    <w:rsid w:val="7578325B"/>
    <w:rsid w:val="757A7E5C"/>
    <w:rsid w:val="757C7B74"/>
    <w:rsid w:val="759228C2"/>
    <w:rsid w:val="75B46316"/>
    <w:rsid w:val="75C96473"/>
    <w:rsid w:val="75DB2E60"/>
    <w:rsid w:val="75E84983"/>
    <w:rsid w:val="75ED40A9"/>
    <w:rsid w:val="75EF1E84"/>
    <w:rsid w:val="75F8052E"/>
    <w:rsid w:val="75FE45EA"/>
    <w:rsid w:val="7614205F"/>
    <w:rsid w:val="7633308E"/>
    <w:rsid w:val="763F300B"/>
    <w:rsid w:val="764E470C"/>
    <w:rsid w:val="76516E0F"/>
    <w:rsid w:val="765C1400"/>
    <w:rsid w:val="76636B42"/>
    <w:rsid w:val="767849FF"/>
    <w:rsid w:val="76902A69"/>
    <w:rsid w:val="769E6214"/>
    <w:rsid w:val="76B4167B"/>
    <w:rsid w:val="76BD487E"/>
    <w:rsid w:val="76C05D43"/>
    <w:rsid w:val="76C155F0"/>
    <w:rsid w:val="76F45925"/>
    <w:rsid w:val="76FA3AE0"/>
    <w:rsid w:val="770C543C"/>
    <w:rsid w:val="770D6AA0"/>
    <w:rsid w:val="77277B70"/>
    <w:rsid w:val="77392F6C"/>
    <w:rsid w:val="77536F2A"/>
    <w:rsid w:val="775A265E"/>
    <w:rsid w:val="775C1F10"/>
    <w:rsid w:val="77672E9D"/>
    <w:rsid w:val="77B44032"/>
    <w:rsid w:val="77DA596A"/>
    <w:rsid w:val="77FC2197"/>
    <w:rsid w:val="780E162A"/>
    <w:rsid w:val="782C0B59"/>
    <w:rsid w:val="782E692D"/>
    <w:rsid w:val="787B5EC3"/>
    <w:rsid w:val="788555E4"/>
    <w:rsid w:val="78A27DF6"/>
    <w:rsid w:val="78AF2513"/>
    <w:rsid w:val="78B152A5"/>
    <w:rsid w:val="78B96413"/>
    <w:rsid w:val="78DF21F4"/>
    <w:rsid w:val="78E934A6"/>
    <w:rsid w:val="7912325B"/>
    <w:rsid w:val="79242505"/>
    <w:rsid w:val="792B2325"/>
    <w:rsid w:val="794744F9"/>
    <w:rsid w:val="79490272"/>
    <w:rsid w:val="794F1783"/>
    <w:rsid w:val="795C1200"/>
    <w:rsid w:val="795C2131"/>
    <w:rsid w:val="79605DAC"/>
    <w:rsid w:val="79730712"/>
    <w:rsid w:val="798D37EE"/>
    <w:rsid w:val="7997722F"/>
    <w:rsid w:val="79A92F74"/>
    <w:rsid w:val="79E52667"/>
    <w:rsid w:val="79F35915"/>
    <w:rsid w:val="79F67793"/>
    <w:rsid w:val="79FA41F3"/>
    <w:rsid w:val="79FC1788"/>
    <w:rsid w:val="7A133FF9"/>
    <w:rsid w:val="7A36335A"/>
    <w:rsid w:val="7A6252E2"/>
    <w:rsid w:val="7A7B6CCC"/>
    <w:rsid w:val="7A7F06C0"/>
    <w:rsid w:val="7A8F4949"/>
    <w:rsid w:val="7A9010ED"/>
    <w:rsid w:val="7A954EE2"/>
    <w:rsid w:val="7A996FD7"/>
    <w:rsid w:val="7A9A0F98"/>
    <w:rsid w:val="7AB26AD0"/>
    <w:rsid w:val="7AB818FB"/>
    <w:rsid w:val="7ABC4A73"/>
    <w:rsid w:val="7AD16771"/>
    <w:rsid w:val="7AE147F2"/>
    <w:rsid w:val="7AE22A16"/>
    <w:rsid w:val="7AF83CFD"/>
    <w:rsid w:val="7B064532"/>
    <w:rsid w:val="7B0B3667"/>
    <w:rsid w:val="7B5670F2"/>
    <w:rsid w:val="7BA163EE"/>
    <w:rsid w:val="7BAB0E3B"/>
    <w:rsid w:val="7BAD2D9D"/>
    <w:rsid w:val="7BB63922"/>
    <w:rsid w:val="7BC77B74"/>
    <w:rsid w:val="7BCF4E06"/>
    <w:rsid w:val="7BF038B2"/>
    <w:rsid w:val="7BF60EE9"/>
    <w:rsid w:val="7C217B78"/>
    <w:rsid w:val="7C3666DA"/>
    <w:rsid w:val="7C4E339D"/>
    <w:rsid w:val="7C5F0FBE"/>
    <w:rsid w:val="7C6714DB"/>
    <w:rsid w:val="7C834DCF"/>
    <w:rsid w:val="7CC7600D"/>
    <w:rsid w:val="7D0F5DF2"/>
    <w:rsid w:val="7D1062C0"/>
    <w:rsid w:val="7D16344D"/>
    <w:rsid w:val="7D2A77FE"/>
    <w:rsid w:val="7D3520E4"/>
    <w:rsid w:val="7D396682"/>
    <w:rsid w:val="7D4142E4"/>
    <w:rsid w:val="7D480BCD"/>
    <w:rsid w:val="7D4827D8"/>
    <w:rsid w:val="7D4B5310"/>
    <w:rsid w:val="7D582AE1"/>
    <w:rsid w:val="7D691FD6"/>
    <w:rsid w:val="7D787377"/>
    <w:rsid w:val="7D7E735E"/>
    <w:rsid w:val="7D8A612C"/>
    <w:rsid w:val="7D8D526D"/>
    <w:rsid w:val="7DA77C5D"/>
    <w:rsid w:val="7DBE2476"/>
    <w:rsid w:val="7DE762AB"/>
    <w:rsid w:val="7DE82778"/>
    <w:rsid w:val="7DEE7639"/>
    <w:rsid w:val="7DEF4896"/>
    <w:rsid w:val="7E290672"/>
    <w:rsid w:val="7E3C03A5"/>
    <w:rsid w:val="7E50058F"/>
    <w:rsid w:val="7E7F0EB1"/>
    <w:rsid w:val="7E977CD1"/>
    <w:rsid w:val="7EA04B2E"/>
    <w:rsid w:val="7EA33980"/>
    <w:rsid w:val="7EA71485"/>
    <w:rsid w:val="7EB15754"/>
    <w:rsid w:val="7EB443DF"/>
    <w:rsid w:val="7EC9680D"/>
    <w:rsid w:val="7ECC04EE"/>
    <w:rsid w:val="7ED67F1C"/>
    <w:rsid w:val="7ED96ADF"/>
    <w:rsid w:val="7EDB5282"/>
    <w:rsid w:val="7EF567BF"/>
    <w:rsid w:val="7F0D7693"/>
    <w:rsid w:val="7F263E96"/>
    <w:rsid w:val="7F7C6018"/>
    <w:rsid w:val="7F7D3F32"/>
    <w:rsid w:val="7F7E627C"/>
    <w:rsid w:val="7F8972A6"/>
    <w:rsid w:val="7F9B734D"/>
    <w:rsid w:val="7FDF7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70"/>
    <w:qFormat/>
    <w:uiPriority w:val="0"/>
    <w:pPr>
      <w:keepNext/>
      <w:keepLines/>
      <w:spacing w:line="360" w:lineRule="auto"/>
      <w:outlineLvl w:val="0"/>
    </w:pPr>
    <w:rPr>
      <w:b/>
      <w:bCs/>
      <w:kern w:val="44"/>
      <w:sz w:val="28"/>
      <w:szCs w:val="44"/>
    </w:rPr>
  </w:style>
  <w:style w:type="paragraph" w:styleId="4">
    <w:name w:val="heading 2"/>
    <w:basedOn w:val="1"/>
    <w:next w:val="1"/>
    <w:qFormat/>
    <w:uiPriority w:val="0"/>
    <w:pPr>
      <w:keepNext/>
      <w:keepLines/>
      <w:outlineLvl w:val="1"/>
    </w:pPr>
    <w:rPr>
      <w:rFonts w:ascii="Arial" w:hAnsi="Arial"/>
      <w:b/>
      <w:bCs/>
      <w:szCs w:val="32"/>
    </w:rPr>
  </w:style>
  <w:style w:type="paragraph" w:styleId="5">
    <w:name w:val="heading 3"/>
    <w:basedOn w:val="1"/>
    <w:next w:val="1"/>
    <w:qFormat/>
    <w:uiPriority w:val="0"/>
    <w:pPr>
      <w:keepNext/>
      <w:keepLines/>
      <w:spacing w:before="260" w:after="260" w:line="416" w:lineRule="auto"/>
      <w:outlineLvl w:val="2"/>
    </w:pPr>
    <w:rPr>
      <w:b/>
      <w:bCs/>
      <w:szCs w:val="32"/>
    </w:rPr>
  </w:style>
  <w:style w:type="paragraph" w:styleId="6">
    <w:name w:val="heading 4"/>
    <w:basedOn w:val="1"/>
    <w:next w:val="1"/>
    <w:link w:val="46"/>
    <w:qFormat/>
    <w:uiPriority w:val="0"/>
    <w:pPr>
      <w:keepNext/>
      <w:keepLines/>
      <w:spacing w:before="280" w:after="290" w:line="376" w:lineRule="auto"/>
      <w:outlineLvl w:val="3"/>
    </w:pPr>
    <w:rPr>
      <w:rFonts w:ascii="Cambria" w:hAnsi="Cambria" w:cs="Times New Roman"/>
      <w:b/>
      <w:bCs/>
      <w:kern w:val="2"/>
      <w:sz w:val="28"/>
      <w:szCs w:val="28"/>
      <w:lang w:val="zh-CN"/>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8">
    <w:name w:val="List 3"/>
    <w:basedOn w:val="1"/>
    <w:qFormat/>
    <w:uiPriority w:val="0"/>
    <w:pPr>
      <w:ind w:left="100" w:leftChars="400" w:hanging="200" w:hangingChars="200"/>
    </w:pPr>
  </w:style>
  <w:style w:type="paragraph" w:styleId="9">
    <w:name w:val="toc 7"/>
    <w:basedOn w:val="1"/>
    <w:next w:val="1"/>
    <w:unhideWhenUsed/>
    <w:qFormat/>
    <w:uiPriority w:val="39"/>
    <w:pPr>
      <w:ind w:left="2520" w:leftChars="1200"/>
    </w:pPr>
    <w:rPr>
      <w:rFonts w:ascii="Calibri" w:hAnsi="Calibri" w:cs="Times New Roman"/>
      <w:szCs w:val="22"/>
    </w:rPr>
  </w:style>
  <w:style w:type="paragraph" w:styleId="10">
    <w:name w:val="Normal Indent"/>
    <w:basedOn w:val="1"/>
    <w:link w:val="56"/>
    <w:qFormat/>
    <w:uiPriority w:val="0"/>
    <w:pPr>
      <w:spacing w:line="360" w:lineRule="auto"/>
      <w:ind w:firstLine="200" w:firstLineChars="200"/>
    </w:pPr>
    <w:rPr>
      <w:rFonts w:ascii="Times New Roman" w:hAnsi="Times New Roman" w:cs="Times New Roman"/>
      <w:kern w:val="2"/>
      <w:sz w:val="28"/>
      <w:szCs w:val="28"/>
      <w:lang w:val="zh-CN"/>
    </w:rPr>
  </w:style>
  <w:style w:type="paragraph" w:styleId="11">
    <w:name w:val="caption"/>
    <w:basedOn w:val="1"/>
    <w:next w:val="1"/>
    <w:qFormat/>
    <w:uiPriority w:val="0"/>
    <w:rPr>
      <w:rFonts w:ascii="Arial" w:hAnsi="Arial" w:eastAsia="黑体" w:cs="Arial"/>
      <w:sz w:val="20"/>
      <w:szCs w:val="20"/>
    </w:rPr>
  </w:style>
  <w:style w:type="paragraph" w:styleId="12">
    <w:name w:val="Document Map"/>
    <w:basedOn w:val="1"/>
    <w:link w:val="69"/>
    <w:qFormat/>
    <w:uiPriority w:val="0"/>
    <w:rPr>
      <w:sz w:val="18"/>
      <w:szCs w:val="18"/>
    </w:rPr>
  </w:style>
  <w:style w:type="paragraph" w:styleId="13">
    <w:name w:val="annotation text"/>
    <w:basedOn w:val="1"/>
    <w:qFormat/>
    <w:uiPriority w:val="0"/>
  </w:style>
  <w:style w:type="paragraph" w:styleId="14">
    <w:name w:val="Body Text"/>
    <w:basedOn w:val="1"/>
    <w:next w:val="1"/>
    <w:link w:val="52"/>
    <w:qFormat/>
    <w:uiPriority w:val="0"/>
    <w:pPr>
      <w:spacing w:after="120"/>
    </w:pPr>
    <w:rPr>
      <w:rFonts w:ascii="Times New Roman" w:hAnsi="Times New Roman" w:cs="Times New Roman"/>
      <w:kern w:val="2"/>
      <w:sz w:val="21"/>
    </w:rPr>
  </w:style>
  <w:style w:type="paragraph" w:styleId="15">
    <w:name w:val="Body Text Indent"/>
    <w:basedOn w:val="1"/>
    <w:qFormat/>
    <w:uiPriority w:val="0"/>
    <w:pPr>
      <w:spacing w:after="120"/>
      <w:ind w:left="420" w:leftChars="200"/>
    </w:pPr>
  </w:style>
  <w:style w:type="paragraph" w:styleId="16">
    <w:name w:val="List 2"/>
    <w:basedOn w:val="1"/>
    <w:qFormat/>
    <w:uiPriority w:val="0"/>
    <w:pPr>
      <w:ind w:left="100" w:leftChars="200" w:hanging="200" w:hangingChars="200"/>
    </w:pPr>
  </w:style>
  <w:style w:type="paragraph" w:styleId="17">
    <w:name w:val="toc 5"/>
    <w:basedOn w:val="1"/>
    <w:next w:val="1"/>
    <w:unhideWhenUsed/>
    <w:qFormat/>
    <w:uiPriority w:val="39"/>
    <w:pPr>
      <w:ind w:left="1680" w:leftChars="800"/>
    </w:pPr>
    <w:rPr>
      <w:rFonts w:ascii="Calibri" w:hAnsi="Calibri" w:cs="Times New Roman"/>
      <w:szCs w:val="22"/>
    </w:rPr>
  </w:style>
  <w:style w:type="paragraph" w:styleId="18">
    <w:name w:val="toc 3"/>
    <w:basedOn w:val="1"/>
    <w:next w:val="1"/>
    <w:qFormat/>
    <w:uiPriority w:val="39"/>
    <w:pPr>
      <w:ind w:left="840" w:leftChars="400"/>
    </w:pPr>
  </w:style>
  <w:style w:type="paragraph" w:styleId="19">
    <w:name w:val="Plain Text"/>
    <w:basedOn w:val="1"/>
    <w:qFormat/>
    <w:uiPriority w:val="0"/>
    <w:rPr>
      <w:rFonts w:hAnsi="Courier New" w:cs="Courier New"/>
      <w:szCs w:val="21"/>
    </w:rPr>
  </w:style>
  <w:style w:type="paragraph" w:styleId="20">
    <w:name w:val="toc 8"/>
    <w:basedOn w:val="1"/>
    <w:next w:val="1"/>
    <w:unhideWhenUsed/>
    <w:qFormat/>
    <w:uiPriority w:val="39"/>
    <w:pPr>
      <w:ind w:left="2940" w:leftChars="1400"/>
    </w:pPr>
    <w:rPr>
      <w:rFonts w:ascii="Calibri" w:hAnsi="Calibri" w:cs="Times New Roman"/>
      <w:szCs w:val="22"/>
    </w:rPr>
  </w:style>
  <w:style w:type="paragraph" w:styleId="21">
    <w:name w:val="Date"/>
    <w:basedOn w:val="1"/>
    <w:next w:val="1"/>
    <w:qFormat/>
    <w:uiPriority w:val="0"/>
    <w:pPr>
      <w:ind w:left="100" w:leftChars="2500"/>
    </w:pPr>
  </w:style>
  <w:style w:type="paragraph" w:styleId="22">
    <w:name w:val="Body Text Indent 2"/>
    <w:basedOn w:val="1"/>
    <w:link w:val="55"/>
    <w:qFormat/>
    <w:uiPriority w:val="0"/>
    <w:pPr>
      <w:spacing w:after="120" w:line="480" w:lineRule="auto"/>
      <w:ind w:left="420" w:leftChars="200"/>
    </w:pPr>
    <w:rPr>
      <w:rFonts w:ascii="Times New Roman" w:hAnsi="Times New Roman" w:cs="Times New Roman"/>
      <w:kern w:val="2"/>
      <w:sz w:val="21"/>
      <w:szCs w:val="20"/>
      <w:lang w:val="zh-CN"/>
    </w:rPr>
  </w:style>
  <w:style w:type="paragraph" w:styleId="23">
    <w:name w:val="Balloon Text"/>
    <w:basedOn w:val="1"/>
    <w:qFormat/>
    <w:uiPriority w:val="0"/>
    <w:rPr>
      <w:sz w:val="18"/>
      <w:szCs w:val="18"/>
    </w:rPr>
  </w:style>
  <w:style w:type="paragraph" w:styleId="24">
    <w:name w:val="footer"/>
    <w:basedOn w:val="1"/>
    <w:link w:val="57"/>
    <w:qFormat/>
    <w:uiPriority w:val="0"/>
    <w:pPr>
      <w:tabs>
        <w:tab w:val="center" w:pos="4153"/>
        <w:tab w:val="right" w:pos="8306"/>
      </w:tabs>
      <w:snapToGrid w:val="0"/>
    </w:pPr>
    <w:rPr>
      <w:rFonts w:ascii="Georgia" w:hAnsi="Georgia"/>
      <w:color w:val="000000"/>
      <w:sz w:val="18"/>
      <w:szCs w:val="18"/>
    </w:rPr>
  </w:style>
  <w:style w:type="paragraph" w:styleId="25">
    <w:name w:val="header"/>
    <w:basedOn w:val="1"/>
    <w:link w:val="48"/>
    <w:qFormat/>
    <w:uiPriority w:val="0"/>
    <w:pPr>
      <w:pBdr>
        <w:bottom w:val="single" w:color="auto" w:sz="6" w:space="1"/>
      </w:pBdr>
      <w:tabs>
        <w:tab w:val="center" w:pos="4153"/>
        <w:tab w:val="right" w:pos="8306"/>
      </w:tabs>
      <w:snapToGrid w:val="0"/>
      <w:jc w:val="center"/>
    </w:pPr>
    <w:rPr>
      <w:rFonts w:ascii="Times New Roman" w:hAnsi="Times New Roman" w:cs="Times New Roman"/>
      <w:kern w:val="2"/>
      <w:sz w:val="18"/>
      <w:szCs w:val="18"/>
      <w:lang w:val="zh-CN"/>
    </w:rPr>
  </w:style>
  <w:style w:type="paragraph" w:styleId="26">
    <w:name w:val="toc 1"/>
    <w:basedOn w:val="1"/>
    <w:next w:val="1"/>
    <w:qFormat/>
    <w:uiPriority w:val="39"/>
    <w:pPr>
      <w:spacing w:before="120" w:after="120"/>
    </w:pPr>
    <w:rPr>
      <w:b/>
      <w:bCs/>
      <w:caps/>
      <w:szCs w:val="20"/>
    </w:rPr>
  </w:style>
  <w:style w:type="paragraph" w:styleId="27">
    <w:name w:val="toc 4"/>
    <w:basedOn w:val="1"/>
    <w:next w:val="1"/>
    <w:unhideWhenUsed/>
    <w:qFormat/>
    <w:uiPriority w:val="39"/>
    <w:pPr>
      <w:ind w:left="1260" w:leftChars="600"/>
    </w:pPr>
    <w:rPr>
      <w:rFonts w:ascii="Calibri" w:hAnsi="Calibri" w:cs="Times New Roman"/>
      <w:szCs w:val="22"/>
    </w:rPr>
  </w:style>
  <w:style w:type="paragraph" w:styleId="28">
    <w:name w:val="Subtitle"/>
    <w:basedOn w:val="1"/>
    <w:next w:val="1"/>
    <w:link w:val="58"/>
    <w:qFormat/>
    <w:uiPriority w:val="11"/>
    <w:pPr>
      <w:spacing w:before="240" w:after="60" w:line="312" w:lineRule="auto"/>
      <w:jc w:val="center"/>
      <w:outlineLvl w:val="1"/>
    </w:pPr>
    <w:rPr>
      <w:rFonts w:ascii="Cambria" w:hAnsi="Cambria" w:cs="Times New Roman"/>
      <w:b/>
      <w:bCs/>
      <w:kern w:val="28"/>
      <w:sz w:val="32"/>
      <w:szCs w:val="32"/>
    </w:rPr>
  </w:style>
  <w:style w:type="paragraph" w:styleId="29">
    <w:name w:val="List"/>
    <w:basedOn w:val="1"/>
    <w:qFormat/>
    <w:uiPriority w:val="0"/>
    <w:pPr>
      <w:ind w:left="200" w:hanging="200" w:hangingChars="200"/>
    </w:pPr>
  </w:style>
  <w:style w:type="paragraph" w:styleId="30">
    <w:name w:val="toc 6"/>
    <w:basedOn w:val="1"/>
    <w:next w:val="1"/>
    <w:unhideWhenUsed/>
    <w:qFormat/>
    <w:uiPriority w:val="39"/>
    <w:pPr>
      <w:ind w:left="2100" w:leftChars="1000"/>
    </w:pPr>
    <w:rPr>
      <w:rFonts w:ascii="Calibri" w:hAnsi="Calibri" w:cs="Times New Roman"/>
      <w:szCs w:val="22"/>
    </w:rPr>
  </w:style>
  <w:style w:type="paragraph" w:styleId="31">
    <w:name w:val="toc 2"/>
    <w:basedOn w:val="1"/>
    <w:next w:val="1"/>
    <w:unhideWhenUsed/>
    <w:qFormat/>
    <w:uiPriority w:val="39"/>
    <w:pPr>
      <w:ind w:left="420" w:leftChars="200"/>
    </w:pPr>
    <w:rPr>
      <w:rFonts w:ascii="Calibri" w:hAnsi="Calibri"/>
      <w:szCs w:val="22"/>
    </w:rPr>
  </w:style>
  <w:style w:type="paragraph" w:styleId="32">
    <w:name w:val="toc 9"/>
    <w:basedOn w:val="1"/>
    <w:next w:val="1"/>
    <w:unhideWhenUsed/>
    <w:qFormat/>
    <w:uiPriority w:val="39"/>
    <w:pPr>
      <w:ind w:left="3360" w:leftChars="1600"/>
    </w:pPr>
    <w:rPr>
      <w:rFonts w:ascii="Calibri" w:hAnsi="Calibri" w:cs="Times New Roman"/>
      <w:szCs w:val="22"/>
    </w:rPr>
  </w:style>
  <w:style w:type="paragraph" w:styleId="33">
    <w:name w:val="Normal (Web)"/>
    <w:basedOn w:val="1"/>
    <w:qFormat/>
    <w:uiPriority w:val="0"/>
    <w:pPr>
      <w:spacing w:line="360" w:lineRule="auto"/>
    </w:pPr>
    <w:rPr>
      <w:szCs w:val="28"/>
    </w:rPr>
  </w:style>
  <w:style w:type="paragraph" w:styleId="34">
    <w:name w:val="Title"/>
    <w:basedOn w:val="1"/>
    <w:next w:val="1"/>
    <w:link w:val="53"/>
    <w:qFormat/>
    <w:uiPriority w:val="0"/>
    <w:pPr>
      <w:widowControl w:val="0"/>
      <w:spacing w:before="240" w:after="60"/>
      <w:outlineLvl w:val="0"/>
    </w:pPr>
    <w:rPr>
      <w:rFonts w:ascii="Cambria" w:hAnsi="Cambria" w:cs="Times New Roman"/>
      <w:b/>
      <w:bCs/>
      <w:kern w:val="2"/>
      <w:sz w:val="30"/>
      <w:szCs w:val="32"/>
      <w:lang w:val="zh-CN"/>
    </w:rPr>
  </w:style>
  <w:style w:type="paragraph" w:styleId="35">
    <w:name w:val="annotation subject"/>
    <w:basedOn w:val="13"/>
    <w:next w:val="13"/>
    <w:qFormat/>
    <w:uiPriority w:val="0"/>
    <w:rPr>
      <w:b/>
      <w:bCs/>
    </w:rPr>
  </w:style>
  <w:style w:type="paragraph" w:styleId="36">
    <w:name w:val="Body Text First Indent"/>
    <w:basedOn w:val="14"/>
    <w:link w:val="51"/>
    <w:qFormat/>
    <w:uiPriority w:val="0"/>
    <w:pPr>
      <w:ind w:firstLine="420" w:firstLineChars="100"/>
    </w:pPr>
  </w:style>
  <w:style w:type="paragraph" w:styleId="37">
    <w:name w:val="Body Text First Indent 2"/>
    <w:basedOn w:val="15"/>
    <w:qFormat/>
    <w:uiPriority w:val="0"/>
    <w:pPr>
      <w:ind w:firstLine="420" w:firstLineChars="200"/>
    </w:p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uiPriority w:val="0"/>
    <w:rPr>
      <w:b/>
      <w:bCs/>
    </w:rPr>
  </w:style>
  <w:style w:type="character" w:styleId="42">
    <w:name w:val="page number"/>
    <w:basedOn w:val="40"/>
    <w:qFormat/>
    <w:uiPriority w:val="0"/>
  </w:style>
  <w:style w:type="character" w:styleId="43">
    <w:name w:val="FollowedHyperlink"/>
    <w:unhideWhenUsed/>
    <w:qFormat/>
    <w:uiPriority w:val="99"/>
    <w:rPr>
      <w:color w:val="954F72"/>
      <w:u w:val="single"/>
    </w:rPr>
  </w:style>
  <w:style w:type="character" w:styleId="44">
    <w:name w:val="Hyperlink"/>
    <w:qFormat/>
    <w:uiPriority w:val="99"/>
    <w:rPr>
      <w:color w:val="261CDC"/>
      <w:u w:val="single"/>
    </w:rPr>
  </w:style>
  <w:style w:type="character" w:styleId="45">
    <w:name w:val="annotation reference"/>
    <w:qFormat/>
    <w:uiPriority w:val="0"/>
    <w:rPr>
      <w:sz w:val="21"/>
      <w:szCs w:val="21"/>
    </w:rPr>
  </w:style>
  <w:style w:type="character" w:customStyle="1" w:styleId="46">
    <w:name w:val="标题 4 Char"/>
    <w:link w:val="6"/>
    <w:semiHidden/>
    <w:qFormat/>
    <w:uiPriority w:val="0"/>
    <w:rPr>
      <w:rFonts w:ascii="Cambria" w:hAnsi="Cambria" w:eastAsia="宋体" w:cs="Times New Roman"/>
      <w:b/>
      <w:bCs/>
      <w:kern w:val="2"/>
      <w:sz w:val="28"/>
      <w:szCs w:val="28"/>
    </w:rPr>
  </w:style>
  <w:style w:type="character" w:customStyle="1" w:styleId="47">
    <w:name w:val="ask-title2"/>
    <w:basedOn w:val="40"/>
    <w:qFormat/>
    <w:uiPriority w:val="0"/>
  </w:style>
  <w:style w:type="character" w:customStyle="1" w:styleId="48">
    <w:name w:val="页眉 Char"/>
    <w:link w:val="25"/>
    <w:qFormat/>
    <w:uiPriority w:val="0"/>
    <w:rPr>
      <w:kern w:val="2"/>
      <w:sz w:val="18"/>
      <w:szCs w:val="18"/>
    </w:rPr>
  </w:style>
  <w:style w:type="character" w:customStyle="1" w:styleId="49">
    <w:name w:val="纯文本1 Char"/>
    <w:link w:val="50"/>
    <w:qFormat/>
    <w:uiPriority w:val="0"/>
    <w:rPr>
      <w:rFonts w:ascii="宋体" w:hAnsi="Courier New" w:eastAsia="宋体"/>
      <w:kern w:val="2"/>
      <w:sz w:val="24"/>
      <w:lang w:val="en-US" w:eastAsia="zh-CN" w:bidi="ar-SA"/>
    </w:rPr>
  </w:style>
  <w:style w:type="paragraph" w:customStyle="1" w:styleId="50">
    <w:name w:val="纯文本1"/>
    <w:basedOn w:val="1"/>
    <w:link w:val="49"/>
    <w:qFormat/>
    <w:uiPriority w:val="0"/>
    <w:pPr>
      <w:adjustRightInd w:val="0"/>
      <w:textAlignment w:val="baseline"/>
    </w:pPr>
    <w:rPr>
      <w:rFonts w:hAnsi="Courier New" w:cs="Times New Roman"/>
      <w:kern w:val="2"/>
      <w:szCs w:val="20"/>
    </w:rPr>
  </w:style>
  <w:style w:type="character" w:customStyle="1" w:styleId="51">
    <w:name w:val="正文首行缩进 Char"/>
    <w:basedOn w:val="52"/>
    <w:link w:val="36"/>
    <w:qFormat/>
    <w:uiPriority w:val="0"/>
    <w:rPr>
      <w:rFonts w:eastAsia="宋体"/>
      <w:kern w:val="2"/>
      <w:sz w:val="21"/>
      <w:szCs w:val="24"/>
      <w:lang w:val="en-US" w:eastAsia="zh-CN" w:bidi="ar-SA"/>
    </w:rPr>
  </w:style>
  <w:style w:type="character" w:customStyle="1" w:styleId="52">
    <w:name w:val="正文文本 Char"/>
    <w:link w:val="14"/>
    <w:qFormat/>
    <w:uiPriority w:val="0"/>
    <w:rPr>
      <w:rFonts w:eastAsia="宋体"/>
      <w:kern w:val="2"/>
      <w:sz w:val="21"/>
      <w:szCs w:val="24"/>
      <w:lang w:val="en-US" w:eastAsia="zh-CN" w:bidi="ar-SA"/>
    </w:rPr>
  </w:style>
  <w:style w:type="character" w:customStyle="1" w:styleId="53">
    <w:name w:val="标题 Char"/>
    <w:link w:val="34"/>
    <w:qFormat/>
    <w:uiPriority w:val="0"/>
    <w:rPr>
      <w:rFonts w:ascii="Cambria" w:hAnsi="Cambria"/>
      <w:b/>
      <w:bCs/>
      <w:kern w:val="2"/>
      <w:sz w:val="30"/>
      <w:szCs w:val="32"/>
    </w:rPr>
  </w:style>
  <w:style w:type="character" w:customStyle="1" w:styleId="54">
    <w:name w:val="new121"/>
    <w:qFormat/>
    <w:uiPriority w:val="0"/>
    <w:rPr>
      <w:rFonts w:hint="default"/>
      <w:sz w:val="18"/>
      <w:szCs w:val="18"/>
      <w:u w:val="none"/>
    </w:rPr>
  </w:style>
  <w:style w:type="character" w:customStyle="1" w:styleId="55">
    <w:name w:val="正文文本缩进 2 Char"/>
    <w:link w:val="22"/>
    <w:qFormat/>
    <w:uiPriority w:val="0"/>
    <w:rPr>
      <w:kern w:val="2"/>
      <w:sz w:val="21"/>
    </w:rPr>
  </w:style>
  <w:style w:type="character" w:customStyle="1" w:styleId="56">
    <w:name w:val="正文缩进 Char"/>
    <w:link w:val="10"/>
    <w:qFormat/>
    <w:uiPriority w:val="0"/>
    <w:rPr>
      <w:kern w:val="2"/>
      <w:sz w:val="28"/>
      <w:szCs w:val="28"/>
    </w:rPr>
  </w:style>
  <w:style w:type="character" w:customStyle="1" w:styleId="57">
    <w:name w:val="页脚 Char"/>
    <w:link w:val="24"/>
    <w:qFormat/>
    <w:uiPriority w:val="0"/>
    <w:rPr>
      <w:rFonts w:ascii="Georgia" w:hAnsi="Georgia" w:eastAsia="宋体" w:cs="宋体"/>
      <w:color w:val="000000"/>
      <w:sz w:val="18"/>
      <w:szCs w:val="18"/>
      <w:lang w:val="en-US" w:eastAsia="zh-CN" w:bidi="ar-SA"/>
    </w:rPr>
  </w:style>
  <w:style w:type="character" w:customStyle="1" w:styleId="58">
    <w:name w:val="副标题 Char"/>
    <w:link w:val="28"/>
    <w:qFormat/>
    <w:uiPriority w:val="11"/>
    <w:rPr>
      <w:rFonts w:ascii="Cambria" w:hAnsi="Cambria" w:eastAsia="宋体"/>
      <w:b/>
      <w:bCs/>
      <w:kern w:val="28"/>
      <w:sz w:val="32"/>
      <w:szCs w:val="32"/>
      <w:lang w:val="en-US" w:eastAsia="zh-CN" w:bidi="ar-SA"/>
    </w:rPr>
  </w:style>
  <w:style w:type="character" w:customStyle="1" w:styleId="59">
    <w:name w:val="h11"/>
    <w:basedOn w:val="40"/>
    <w:qFormat/>
    <w:uiPriority w:val="0"/>
  </w:style>
  <w:style w:type="paragraph" w:customStyle="1" w:styleId="60">
    <w:name w:val="默认段落字体 Para Char"/>
    <w:basedOn w:val="1"/>
    <w:next w:val="1"/>
    <w:qFormat/>
    <w:uiPriority w:val="0"/>
    <w:pPr>
      <w:spacing w:line="360" w:lineRule="auto"/>
      <w:ind w:firstLine="200" w:firstLineChars="200"/>
    </w:pPr>
  </w:style>
  <w:style w:type="paragraph" w:customStyle="1" w:styleId="61">
    <w:name w:val="1 Char"/>
    <w:basedOn w:val="1"/>
    <w:qFormat/>
    <w:uiPriority w:val="0"/>
  </w:style>
  <w:style w:type="paragraph" w:styleId="62">
    <w:name w:val="List Paragraph"/>
    <w:basedOn w:val="1"/>
    <w:qFormat/>
    <w:uiPriority w:val="0"/>
    <w:pPr>
      <w:ind w:firstLine="420" w:firstLineChars="200"/>
    </w:pPr>
    <w:rPr>
      <w:rFonts w:ascii="Calibri" w:hAnsi="Calibri"/>
      <w:szCs w:val="22"/>
    </w:rPr>
  </w:style>
  <w:style w:type="paragraph" w:customStyle="1" w:styleId="63">
    <w:name w:val="标题4"/>
    <w:basedOn w:val="6"/>
    <w:qFormat/>
    <w:uiPriority w:val="0"/>
    <w:rPr>
      <w:sz w:val="24"/>
    </w:rPr>
  </w:style>
  <w:style w:type="paragraph" w:customStyle="1" w:styleId="64">
    <w:name w:val="Char"/>
    <w:basedOn w:val="1"/>
    <w:qFormat/>
    <w:uiPriority w:val="0"/>
    <w:pPr>
      <w:wordWrap w:val="0"/>
      <w:adjustRightInd w:val="0"/>
      <w:spacing w:line="360" w:lineRule="auto"/>
      <w:textAlignment w:val="baseline"/>
    </w:pPr>
    <w:rPr>
      <w:rFonts w:ascii="CG Times" w:hAnsi="Arial" w:eastAsia="仿宋_GB2312" w:cs="CG Times"/>
    </w:rPr>
  </w:style>
  <w:style w:type="paragraph" w:customStyle="1" w:styleId="65">
    <w:name w:val="Char1"/>
    <w:basedOn w:val="1"/>
    <w:qFormat/>
    <w:uiPriority w:val="0"/>
    <w:pPr>
      <w:keepNext/>
      <w:tabs>
        <w:tab w:val="left" w:pos="425"/>
      </w:tabs>
      <w:autoSpaceDE w:val="0"/>
      <w:autoSpaceDN w:val="0"/>
      <w:spacing w:before="80" w:after="80"/>
      <w:ind w:hanging="425"/>
    </w:pPr>
    <w:rPr>
      <w:rFonts w:ascii="仿宋_GB2312" w:eastAsia="仿宋_GB2312"/>
      <w:szCs w:val="20"/>
    </w:rPr>
  </w:style>
  <w:style w:type="paragraph" w:customStyle="1" w:styleId="66">
    <w:name w:val="p15"/>
    <w:basedOn w:val="1"/>
    <w:qFormat/>
    <w:uiPriority w:val="0"/>
    <w:pPr>
      <w:ind w:firstLine="420"/>
      <w:jc w:val="both"/>
    </w:pPr>
    <w:rPr>
      <w:sz w:val="21"/>
      <w:szCs w:val="21"/>
    </w:rPr>
  </w:style>
  <w:style w:type="paragraph" w:customStyle="1" w:styleId="67">
    <w:name w:val="p0"/>
    <w:basedOn w:val="1"/>
    <w:qFormat/>
    <w:uiPriority w:val="0"/>
    <w:pPr>
      <w:jc w:val="both"/>
    </w:pPr>
    <w:rPr>
      <w:rFonts w:ascii="Times New Roman" w:hAnsi="Times New Roman" w:cs="Times New Roman"/>
      <w:sz w:val="21"/>
      <w:szCs w:val="21"/>
    </w:rPr>
  </w:style>
  <w:style w:type="paragraph" w:customStyle="1" w:styleId="68">
    <w:name w:val="TOC 标题1"/>
    <w:basedOn w:val="3"/>
    <w:next w:val="1"/>
    <w:unhideWhenUsed/>
    <w:qFormat/>
    <w:uiPriority w:val="39"/>
    <w:pPr>
      <w:spacing w:before="480" w:line="276" w:lineRule="auto"/>
      <w:outlineLvl w:val="9"/>
    </w:pPr>
    <w:rPr>
      <w:rFonts w:ascii="Calibri Light" w:hAnsi="Calibri Light" w:cs="Times New Roman"/>
      <w:color w:val="2E74B5"/>
      <w:kern w:val="0"/>
      <w:szCs w:val="28"/>
    </w:rPr>
  </w:style>
  <w:style w:type="character" w:customStyle="1" w:styleId="69">
    <w:name w:val="文档结构图 Char"/>
    <w:link w:val="12"/>
    <w:qFormat/>
    <w:uiPriority w:val="0"/>
    <w:rPr>
      <w:rFonts w:ascii="宋体" w:hAnsi="宋体" w:cs="宋体"/>
      <w:sz w:val="18"/>
      <w:szCs w:val="18"/>
    </w:rPr>
  </w:style>
  <w:style w:type="character" w:customStyle="1" w:styleId="70">
    <w:name w:val="标题 1 Char"/>
    <w:link w:val="3"/>
    <w:qFormat/>
    <w:uiPriority w:val="0"/>
    <w:rPr>
      <w:rFonts w:ascii="宋体" w:hAnsi="宋体" w:cs="宋体"/>
      <w:b/>
      <w:bCs/>
      <w:kern w:val="44"/>
      <w:sz w:val="28"/>
      <w:szCs w:val="44"/>
    </w:rPr>
  </w:style>
  <w:style w:type="character" w:customStyle="1" w:styleId="71">
    <w:name w:val="fontstyle01"/>
    <w:qFormat/>
    <w:uiPriority w:val="0"/>
    <w:rPr>
      <w:rFonts w:hint="eastAsia" w:ascii="宋体" w:hAnsi="宋体" w:eastAsia="宋体"/>
      <w:color w:val="000000"/>
      <w:sz w:val="24"/>
      <w:szCs w:val="24"/>
    </w:rPr>
  </w:style>
  <w:style w:type="character" w:customStyle="1" w:styleId="72">
    <w:name w:val="fontstyle21"/>
    <w:qFormat/>
    <w:uiPriority w:val="0"/>
    <w:rPr>
      <w:rFonts w:hint="default" w:ascii="TimesNewRomanPSMT" w:hAnsi="TimesNewRomanPSMT"/>
      <w:color w:val="000000"/>
      <w:sz w:val="24"/>
      <w:szCs w:val="24"/>
    </w:rPr>
  </w:style>
  <w:style w:type="character" w:customStyle="1" w:styleId="73">
    <w:name w:val="fontstyle11"/>
    <w:qFormat/>
    <w:uiPriority w:val="0"/>
    <w:rPr>
      <w:rFonts w:hint="eastAsia" w:ascii="宋体" w:hAnsi="宋体" w:eastAsia="宋体"/>
      <w:color w:val="000000"/>
      <w:sz w:val="24"/>
      <w:szCs w:val="24"/>
    </w:rPr>
  </w:style>
  <w:style w:type="paragraph" w:customStyle="1" w:styleId="74">
    <w:name w:val="列出段落1"/>
    <w:basedOn w:val="1"/>
    <w:qFormat/>
    <w:uiPriority w:val="34"/>
    <w:pPr>
      <w:widowControl w:val="0"/>
      <w:ind w:firstLine="420" w:firstLineChars="200"/>
      <w:jc w:val="both"/>
    </w:pPr>
    <w:rPr>
      <w:rFonts w:ascii="Calibri" w:hAnsi="Calibri" w:cs="Arial Narrow"/>
      <w:kern w:val="2"/>
      <w:sz w:val="21"/>
      <w:szCs w:val="22"/>
    </w:rPr>
  </w:style>
  <w:style w:type="character" w:customStyle="1" w:styleId="75">
    <w:name w:val="fontstyle31"/>
    <w:qFormat/>
    <w:uiPriority w:val="0"/>
    <w:rPr>
      <w:rFonts w:hint="default" w:ascii="TimesNewRomanPSMT" w:hAnsi="TimesNewRomanPSMT"/>
      <w:color w:val="000000"/>
      <w:sz w:val="24"/>
      <w:szCs w:val="24"/>
    </w:rPr>
  </w:style>
  <w:style w:type="paragraph" w:customStyle="1" w:styleId="76">
    <w:name w:val="Other|1"/>
    <w:basedOn w:val="1"/>
    <w:qFormat/>
    <w:uiPriority w:val="0"/>
    <w:pPr>
      <w:widowControl w:val="0"/>
      <w:spacing w:line="432" w:lineRule="auto"/>
      <w:ind w:firstLine="400"/>
      <w:jc w:val="both"/>
    </w:pPr>
    <w:rPr>
      <w:kern w:val="2"/>
      <w:sz w:val="22"/>
      <w:szCs w:val="22"/>
      <w:lang w:val="zh-CN" w:bidi="zh-CN"/>
    </w:rPr>
  </w:style>
  <w:style w:type="paragraph" w:customStyle="1" w:styleId="77">
    <w:name w:val="TOC Heading"/>
    <w:basedOn w:val="3"/>
    <w:next w:val="1"/>
    <w:unhideWhenUsed/>
    <w:qFormat/>
    <w:uiPriority w:val="39"/>
    <w:pPr>
      <w:spacing w:before="24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78">
    <w:name w:val="正文修改"/>
    <w:basedOn w:val="1"/>
    <w:qFormat/>
    <w:uiPriority w:val="0"/>
    <w:pPr>
      <w:spacing w:line="360" w:lineRule="auto"/>
      <w:ind w:firstLine="480" w:firstLineChars="200"/>
    </w:pPr>
    <w:rPr>
      <w:rFonts w:eastAsia="楷体_GB2312"/>
      <w:kern w:val="0"/>
      <w:sz w:val="24"/>
    </w:rPr>
  </w:style>
  <w:style w:type="paragraph" w:customStyle="1" w:styleId="79">
    <w:name w:val="表头"/>
    <w:basedOn w:val="1"/>
    <w:qFormat/>
    <w:uiPriority w:val="0"/>
    <w:pPr>
      <w:spacing w:line="360" w:lineRule="auto"/>
      <w:jc w:val="center"/>
    </w:pPr>
    <w:rPr>
      <w:rFonts w:eastAsia="楷体_GB2312"/>
      <w:b/>
      <w:sz w:val="24"/>
    </w:rPr>
  </w:style>
  <w:style w:type="paragraph" w:customStyle="1" w:styleId="80">
    <w:name w:val="正文（新）"/>
    <w:basedOn w:val="1"/>
    <w:qFormat/>
    <w:uiPriority w:val="0"/>
    <w:pPr>
      <w:spacing w:before="120" w:beforeLines="50" w:line="360" w:lineRule="auto"/>
      <w:ind w:firstLine="480" w:firstLineChars="200"/>
    </w:pPr>
    <w:rPr>
      <w:kern w:val="2"/>
      <w:sz w:val="24"/>
      <w:szCs w:val="24"/>
    </w:rPr>
  </w:style>
  <w:style w:type="paragraph" w:customStyle="1" w:styleId="81">
    <w:name w:val="表格"/>
    <w:basedOn w:val="1"/>
    <w:next w:val="1"/>
    <w:qFormat/>
    <w:uiPriority w:val="0"/>
    <w:pPr>
      <w:tabs>
        <w:tab w:val="left" w:pos="1315"/>
        <w:tab w:val="left" w:pos="2565"/>
      </w:tabs>
      <w:adjustRightInd w:val="0"/>
      <w:spacing w:line="360" w:lineRule="auto"/>
      <w:jc w:val="center"/>
      <w:textAlignment w:val="baseline"/>
    </w:pPr>
    <w:rPr>
      <w:b/>
      <w:spacing w:val="10"/>
      <w:kern w:val="0"/>
      <w:sz w:val="24"/>
      <w:szCs w:val="24"/>
    </w:rPr>
  </w:style>
  <w:style w:type="paragraph" w:customStyle="1" w:styleId="82">
    <w:name w:val="正文-1"/>
    <w:basedOn w:val="1"/>
    <w:qFormat/>
    <w:uiPriority w:val="0"/>
    <w:pPr>
      <w:spacing w:line="360" w:lineRule="auto"/>
      <w:ind w:firstLine="200" w:firstLineChars="200"/>
    </w:pPr>
    <w:rPr>
      <w:rFonts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2AE5E8-5822-4208-871D-51FE75784DF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53</Pages>
  <Words>22244</Words>
  <Characters>26100</Characters>
  <Lines>2442</Lines>
  <Paragraphs>3252</Paragraphs>
  <TotalTime>6</TotalTime>
  <ScaleCrop>false</ScaleCrop>
  <LinksUpToDate>false</LinksUpToDate>
  <CharactersWithSpaces>26834</CharactersWithSpaces>
  <Application>WPS Office_11.1.0.12353_F1E327BC-269C-435d-A152-05C5408002CA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2021-04-07T09:01:00Z</dcterms:created>
  <dc:creator>微软用户</dc:creator>
  <cp:lastModifiedBy>WPS_391587347</cp:lastModifiedBy>
  <cp:lastPrinted>2021-04-22T07:35:00Z</cp:lastPrinted>
  <dcterms:modified xsi:type="dcterms:W3CDTF">2022-08-30T08:06:36Z</dcterms:modified>
  <dc:title>前言</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2052-11.1.0.12353</vt:lpwstr>
  </property>
  <property fmtid="{D5CDD505-2E9C-101B-9397-08002B2CF9AE}" pid="3" name="ICV">
    <vt:lpwstr>83DCFB933F3F43A3B02E6B1CAB61ABDE</vt:lpwstr>
  </property>
</Properties>
</file>